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7D0EF" w14:textId="00FA68D9" w:rsidR="00241FF2" w:rsidRPr="00153632" w:rsidRDefault="00241FF2" w:rsidP="00241FF2">
      <w:pPr>
        <w:ind w:left="480" w:hanging="480"/>
        <w:jc w:val="center"/>
        <w:rPr>
          <w:rFonts w:ascii="標楷體" w:eastAsia="標楷體" w:hAnsi="標楷體"/>
          <w:b/>
          <w:sz w:val="28"/>
          <w:szCs w:val="24"/>
        </w:rPr>
      </w:pPr>
      <w:bookmarkStart w:id="0" w:name="_GoBack"/>
      <w:r w:rsidRPr="00153632">
        <w:rPr>
          <w:rFonts w:ascii="標楷體" w:eastAsia="標楷體" w:hAnsi="標楷體" w:hint="eastAsia"/>
          <w:b/>
          <w:sz w:val="28"/>
          <w:szCs w:val="24"/>
        </w:rPr>
        <w:t>《司馬遷之人格與風格》</w:t>
      </w:r>
      <w:r w:rsidR="0076076E" w:rsidRPr="00153632">
        <w:rPr>
          <w:rFonts w:ascii="標楷體" w:eastAsia="標楷體" w:hAnsi="標楷體" w:hint="eastAsia"/>
          <w:b/>
          <w:sz w:val="28"/>
          <w:szCs w:val="24"/>
        </w:rPr>
        <w:t>閱讀心得</w:t>
      </w:r>
    </w:p>
    <w:bookmarkEnd w:id="0"/>
    <w:p w14:paraId="6DE74ED1" w14:textId="77777777" w:rsidR="00241FF2" w:rsidRPr="00153632" w:rsidRDefault="00097675" w:rsidP="00D62408">
      <w:pPr>
        <w:rPr>
          <w:rFonts w:ascii="標楷體" w:eastAsia="標楷體" w:hAnsi="標楷體"/>
          <w:szCs w:val="24"/>
        </w:rPr>
      </w:pPr>
      <w:r w:rsidRPr="00153632">
        <w:rPr>
          <w:rFonts w:ascii="標楷體" w:eastAsia="標楷體" w:hAnsi="標楷體" w:hint="eastAsia"/>
          <w:szCs w:val="24"/>
        </w:rPr>
        <w:t>前言</w:t>
      </w:r>
    </w:p>
    <w:p w14:paraId="5DC79AA4" w14:textId="77777777" w:rsidR="00097675" w:rsidRPr="00153632" w:rsidRDefault="00097675" w:rsidP="00241FF2">
      <w:pPr>
        <w:pStyle w:val="a3"/>
        <w:ind w:leftChars="0"/>
        <w:rPr>
          <w:rFonts w:ascii="標楷體" w:eastAsia="標楷體" w:hAnsi="標楷體"/>
          <w:szCs w:val="24"/>
        </w:rPr>
      </w:pPr>
      <w:r w:rsidRPr="00153632">
        <w:rPr>
          <w:rFonts w:ascii="標楷體" w:eastAsia="標楷體" w:hAnsi="標楷體" w:hint="eastAsia"/>
          <w:szCs w:val="24"/>
        </w:rPr>
        <w:t>司馬遷是中國古代最偉大的歷史家和散文家。二千多年來，有關他生平事蹟、學術評介的文章，早已汗牛充棟</w:t>
      </w:r>
      <w:r w:rsidR="00241FF2" w:rsidRPr="00153632">
        <w:rPr>
          <w:rFonts w:ascii="標楷體" w:eastAsia="標楷體" w:hAnsi="標楷體" w:hint="eastAsia"/>
          <w:szCs w:val="24"/>
        </w:rPr>
        <w:t>，卻沒有</w:t>
      </w:r>
      <w:proofErr w:type="gramStart"/>
      <w:r w:rsidR="00241FF2" w:rsidRPr="00153632">
        <w:rPr>
          <w:rFonts w:ascii="標楷體" w:eastAsia="標楷體" w:hAnsi="標楷體" w:hint="eastAsia"/>
          <w:szCs w:val="24"/>
        </w:rPr>
        <w:t>一本書像《司馬遷之人格與風格》</w:t>
      </w:r>
      <w:proofErr w:type="gramEnd"/>
      <w:r w:rsidR="00241FF2" w:rsidRPr="00153632">
        <w:rPr>
          <w:rFonts w:ascii="標楷體" w:eastAsia="標楷體" w:hAnsi="標楷體" w:hint="eastAsia"/>
          <w:szCs w:val="24"/>
        </w:rPr>
        <w:t>那樣站在純客觀的立場研究作者的思想與人格、作品與時代、作品與環境的關係，以及對社對社會的種種影響。李長之先生</w:t>
      </w:r>
      <w:proofErr w:type="gramStart"/>
      <w:r w:rsidR="00241FF2" w:rsidRPr="00153632">
        <w:rPr>
          <w:rFonts w:ascii="標楷體" w:eastAsia="標楷體" w:hAnsi="標楷體" w:hint="eastAsia"/>
          <w:szCs w:val="24"/>
        </w:rPr>
        <w:t>可以說是司馬遷</w:t>
      </w:r>
      <w:proofErr w:type="gramEnd"/>
      <w:r w:rsidR="00241FF2" w:rsidRPr="00153632">
        <w:rPr>
          <w:rFonts w:ascii="標楷體" w:eastAsia="標楷體" w:hAnsi="標楷體" w:hint="eastAsia"/>
          <w:szCs w:val="24"/>
        </w:rPr>
        <w:t>的真正知音與代言人，雖然本書問世迄今已逾六十年，卻歷久不衰，廣為人們喜愛</w:t>
      </w:r>
      <w:r w:rsidR="008B5884" w:rsidRPr="00153632">
        <w:rPr>
          <w:rFonts w:ascii="標楷體" w:eastAsia="標楷體" w:hAnsi="標楷體" w:hint="eastAsia"/>
          <w:szCs w:val="24"/>
        </w:rPr>
        <w:t>。</w:t>
      </w:r>
    </w:p>
    <w:p w14:paraId="4D846303" w14:textId="77777777" w:rsidR="00097675" w:rsidRPr="00153632" w:rsidRDefault="00D62408" w:rsidP="00D62408">
      <w:pPr>
        <w:rPr>
          <w:rFonts w:ascii="標楷體" w:eastAsia="標楷體" w:hAnsi="標楷體"/>
          <w:szCs w:val="24"/>
        </w:rPr>
      </w:pPr>
      <w:r w:rsidRPr="00153632">
        <w:rPr>
          <w:rFonts w:ascii="標楷體" w:eastAsia="標楷體" w:hAnsi="標楷體" w:hint="eastAsia"/>
          <w:szCs w:val="24"/>
        </w:rPr>
        <w:t>內容闡述與分析</w:t>
      </w:r>
    </w:p>
    <w:p w14:paraId="6AD75755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Style w:val="a4"/>
          <w:rFonts w:ascii="標楷體" w:eastAsia="標楷體" w:hAnsi="標楷體"/>
          <w:color w:val="2F2F2F"/>
        </w:rPr>
        <w:t>司馬遷之諷刺</w:t>
      </w:r>
    </w:p>
    <w:p w14:paraId="623E51A3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諷刺的目標是漢。具體</w:t>
      </w:r>
      <w:proofErr w:type="gramStart"/>
      <w:r w:rsidRPr="00153632">
        <w:rPr>
          <w:rFonts w:ascii="標楷體" w:eastAsia="標楷體" w:hAnsi="標楷體"/>
          <w:color w:val="2F2F2F"/>
        </w:rPr>
        <w:t>來說是德</w:t>
      </w:r>
      <w:proofErr w:type="gramEnd"/>
      <w:r w:rsidRPr="00153632">
        <w:rPr>
          <w:rFonts w:ascii="標楷體" w:eastAsia="標楷體" w:hAnsi="標楷體"/>
          <w:color w:val="2F2F2F"/>
        </w:rPr>
        <w:t>不配位的人物、殘忍刻薄的家法、貪婪愚蠢的武帝。例如司馬遷挖苦劉邦隨處可見，在他的筆下，項羽是真英雄，劉邦只是一個流氓而已。不過他諷刺的最大的目標還是漢武帝。</w:t>
      </w:r>
    </w:p>
    <w:p w14:paraId="0BCEBA80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諷刺的方法：一、揭露事實。二、無言的諷刺，不贊同的事件便略去不寫，如《循吏列傳》</w:t>
      </w:r>
      <w:proofErr w:type="gramStart"/>
      <w:r w:rsidRPr="00153632">
        <w:rPr>
          <w:rFonts w:ascii="標楷體" w:eastAsia="標楷體" w:hAnsi="標楷體"/>
          <w:color w:val="2F2F2F"/>
        </w:rPr>
        <w:t>不</w:t>
      </w:r>
      <w:proofErr w:type="gramEnd"/>
      <w:r w:rsidRPr="00153632">
        <w:rPr>
          <w:rFonts w:ascii="標楷體" w:eastAsia="標楷體" w:hAnsi="標楷體"/>
          <w:color w:val="2F2F2F"/>
        </w:rPr>
        <w:t>敘漢代。三、互見，劉邦的流氓行徑不寫在《高祖本紀》中。四、</w:t>
      </w:r>
      <w:proofErr w:type="gramStart"/>
      <w:r w:rsidRPr="00153632">
        <w:rPr>
          <w:rFonts w:ascii="標楷體" w:eastAsia="標楷體" w:hAnsi="標楷體"/>
          <w:color w:val="2F2F2F"/>
        </w:rPr>
        <w:t>反言</w:t>
      </w:r>
      <w:proofErr w:type="gramEnd"/>
      <w:r w:rsidRPr="00153632">
        <w:rPr>
          <w:rFonts w:ascii="標楷體" w:eastAsia="標楷體" w:hAnsi="標楷體"/>
          <w:color w:val="2F2F2F"/>
        </w:rPr>
        <w:t>，明</w:t>
      </w:r>
      <w:proofErr w:type="gramStart"/>
      <w:r w:rsidRPr="00153632">
        <w:rPr>
          <w:rFonts w:ascii="標楷體" w:eastAsia="標楷體" w:hAnsi="標楷體"/>
          <w:color w:val="2F2F2F"/>
        </w:rPr>
        <w:t>褒實貶</w:t>
      </w:r>
      <w:proofErr w:type="gramEnd"/>
      <w:r w:rsidRPr="00153632">
        <w:rPr>
          <w:rFonts w:ascii="標楷體" w:eastAsia="標楷體" w:hAnsi="標楷體"/>
          <w:color w:val="2F2F2F"/>
        </w:rPr>
        <w:t>。五、輕重倒置，將主旨放在次要位置。六、</w:t>
      </w:r>
      <w:proofErr w:type="gramStart"/>
      <w:r w:rsidRPr="00153632">
        <w:rPr>
          <w:rFonts w:ascii="標楷體" w:eastAsia="標楷體" w:hAnsi="標楷體"/>
          <w:color w:val="2F2F2F"/>
        </w:rPr>
        <w:t>指秦罵漢</w:t>
      </w:r>
      <w:proofErr w:type="gramEnd"/>
      <w:r w:rsidRPr="00153632">
        <w:rPr>
          <w:rFonts w:ascii="標楷體" w:eastAsia="標楷體" w:hAnsi="標楷體"/>
          <w:color w:val="2F2F2F"/>
        </w:rPr>
        <w:t>。七、借刀殺人，用孔子</w:t>
      </w:r>
      <w:proofErr w:type="gramStart"/>
      <w:r w:rsidRPr="00153632">
        <w:rPr>
          <w:rFonts w:ascii="標楷體" w:eastAsia="標楷體" w:hAnsi="標楷體"/>
          <w:color w:val="2F2F2F"/>
        </w:rPr>
        <w:t>抵抗封禪</w:t>
      </w:r>
      <w:proofErr w:type="gramEnd"/>
      <w:r w:rsidRPr="00153632">
        <w:rPr>
          <w:rFonts w:ascii="標楷體" w:eastAsia="標楷體" w:hAnsi="標楷體"/>
          <w:color w:val="2F2F2F"/>
        </w:rPr>
        <w:t>，用</w:t>
      </w:r>
      <w:proofErr w:type="gramStart"/>
      <w:r w:rsidRPr="00153632">
        <w:rPr>
          <w:rFonts w:ascii="標楷體" w:eastAsia="標楷體" w:hAnsi="標楷體"/>
          <w:color w:val="2F2F2F"/>
        </w:rPr>
        <w:t>汲</w:t>
      </w:r>
      <w:proofErr w:type="gramEnd"/>
      <w:r w:rsidRPr="00153632">
        <w:rPr>
          <w:rFonts w:ascii="標楷體" w:eastAsia="標楷體" w:hAnsi="標楷體"/>
          <w:color w:val="2F2F2F"/>
        </w:rPr>
        <w:t>黯斥責武帝。八、全然放在語氣中。九、以無理由為理由。</w:t>
      </w:r>
    </w:p>
    <w:p w14:paraId="14D583A4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Style w:val="a4"/>
          <w:rFonts w:ascii="標楷體" w:eastAsia="標楷體" w:hAnsi="標楷體"/>
          <w:color w:val="2F2F2F"/>
        </w:rPr>
        <w:t>司馬遷之文學批評</w:t>
      </w:r>
    </w:p>
    <w:p w14:paraId="5E27D476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其理論可以分為五項</w:t>
      </w:r>
    </w:p>
    <w:p w14:paraId="390EA150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1. 文藝創作之心理學根據。許多學者的觀點都是立足一部作品或者一個作家，司馬遷是站在人類文藝創作心理的角度，提出了“發憤著書”</w:t>
      </w:r>
    </w:p>
    <w:p w14:paraId="014F49DE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2. 文藝創作之有用無用。司馬遷是繼老子之後最早將無用為大用使用在文藝創作的人。</w:t>
      </w:r>
    </w:p>
    <w:p w14:paraId="59D167EB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3. 創作原理。創作有兩種原理：當人類看到許多具體事物時，希望從中總結一些抽象的道理；當人類空有一些觀念或情緒時，將他們放諸具體的事物上。即</w:t>
      </w:r>
      <w:proofErr w:type="gramStart"/>
      <w:r w:rsidRPr="00153632">
        <w:rPr>
          <w:rFonts w:ascii="標楷體" w:eastAsia="標楷體" w:hAnsi="標楷體"/>
          <w:color w:val="2F2F2F"/>
        </w:rPr>
        <w:t>抽象律和具體律</w:t>
      </w:r>
      <w:proofErr w:type="gramEnd"/>
      <w:r w:rsidRPr="00153632">
        <w:rPr>
          <w:rFonts w:ascii="標楷體" w:eastAsia="標楷體" w:hAnsi="標楷體"/>
          <w:color w:val="2F2F2F"/>
        </w:rPr>
        <w:t>。《司馬相如列傳》</w:t>
      </w:r>
      <w:proofErr w:type="gramStart"/>
      <w:r w:rsidRPr="00153632">
        <w:rPr>
          <w:rFonts w:ascii="標楷體" w:eastAsia="標楷體" w:hAnsi="標楷體"/>
          <w:color w:val="2F2F2F"/>
        </w:rPr>
        <w:t>就說到</w:t>
      </w:r>
      <w:proofErr w:type="gramEnd"/>
      <w:r w:rsidRPr="00153632">
        <w:rPr>
          <w:rFonts w:ascii="標楷體" w:eastAsia="標楷體" w:hAnsi="標楷體"/>
          <w:color w:val="2F2F2F"/>
        </w:rPr>
        <w:t>：“《春秋》推見至隱，《易》本隱以之顯。”就分別時抽象律和具體律。</w:t>
      </w:r>
    </w:p>
    <w:p w14:paraId="518C8AE5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4. 藝術之節製作用。“凡作樂者，所以節樂。”《樂書》</w:t>
      </w:r>
    </w:p>
    <w:p w14:paraId="17B96768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5. 幽默解。幽默是智慧和超脫，體現的是悲</w:t>
      </w:r>
      <w:proofErr w:type="gramStart"/>
      <w:r w:rsidRPr="00153632">
        <w:rPr>
          <w:rFonts w:ascii="標楷體" w:eastAsia="標楷體" w:hAnsi="標楷體"/>
          <w:color w:val="2F2F2F"/>
        </w:rPr>
        <w:t>憫</w:t>
      </w:r>
      <w:proofErr w:type="gramEnd"/>
      <w:r w:rsidRPr="00153632">
        <w:rPr>
          <w:rFonts w:ascii="標楷體" w:eastAsia="標楷體" w:hAnsi="標楷體"/>
          <w:color w:val="2F2F2F"/>
        </w:rPr>
        <w:t>和溫暖，《滑稽列傳》中的“滑稽”大致與之類似，高等的滑稽近於幽默，而低等的</w:t>
      </w:r>
      <w:proofErr w:type="gramStart"/>
      <w:r w:rsidRPr="00153632">
        <w:rPr>
          <w:rFonts w:ascii="標楷體" w:eastAsia="標楷體" w:hAnsi="標楷體"/>
          <w:color w:val="2F2F2F"/>
        </w:rPr>
        <w:t>幽默則流於</w:t>
      </w:r>
      <w:proofErr w:type="gramEnd"/>
      <w:r w:rsidRPr="00153632">
        <w:rPr>
          <w:rFonts w:ascii="標楷體" w:eastAsia="標楷體" w:hAnsi="標楷體"/>
          <w:color w:val="2F2F2F"/>
        </w:rPr>
        <w:t>滑稽。難得是在七十列傳中司馬遷專門留出《滑稽列傳》來</w:t>
      </w:r>
    </w:p>
    <w:p w14:paraId="3EC0D00E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至於具體的</w:t>
      </w:r>
      <w:proofErr w:type="gramStart"/>
      <w:r w:rsidRPr="00153632">
        <w:rPr>
          <w:rFonts w:ascii="標楷體" w:eastAsia="標楷體" w:hAnsi="標楷體"/>
          <w:color w:val="2F2F2F"/>
        </w:rPr>
        <w:t>批評文段</w:t>
      </w:r>
      <w:proofErr w:type="gramEnd"/>
      <w:r w:rsidRPr="00153632">
        <w:rPr>
          <w:rFonts w:ascii="標楷體" w:eastAsia="標楷體" w:hAnsi="標楷體"/>
          <w:color w:val="2F2F2F"/>
        </w:rPr>
        <w:t>，可見於司馬遷對於孔子、</w:t>
      </w:r>
      <w:proofErr w:type="gramStart"/>
      <w:r w:rsidRPr="00153632">
        <w:rPr>
          <w:rFonts w:ascii="標楷體" w:eastAsia="標楷體" w:hAnsi="標楷體"/>
          <w:color w:val="2F2F2F"/>
        </w:rPr>
        <w:t>老莊申韓</w:t>
      </w:r>
      <w:proofErr w:type="gramEnd"/>
      <w:r w:rsidRPr="00153632">
        <w:rPr>
          <w:rFonts w:ascii="標楷體" w:eastAsia="標楷體" w:hAnsi="標楷體"/>
          <w:color w:val="2F2F2F"/>
        </w:rPr>
        <w:t>、屈原的評價</w:t>
      </w:r>
    </w:p>
    <w:p w14:paraId="05FA89AC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Style w:val="a4"/>
          <w:rFonts w:ascii="標楷體" w:eastAsia="標楷體" w:hAnsi="標楷體"/>
          <w:color w:val="2F2F2F"/>
        </w:rPr>
        <w:t>司馬遷的民間精神</w:t>
      </w:r>
    </w:p>
    <w:p w14:paraId="77804421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突出體現在對遊俠的讚揚，這也影響到了他的語言</w:t>
      </w:r>
      <w:proofErr w:type="gramStart"/>
      <w:r w:rsidRPr="00153632">
        <w:rPr>
          <w:rFonts w:ascii="標楷體" w:eastAsia="標楷體" w:hAnsi="標楷體"/>
          <w:color w:val="2F2F2F"/>
        </w:rPr>
        <w:t>——</w:t>
      </w:r>
      <w:proofErr w:type="gramEnd"/>
      <w:r w:rsidRPr="00153632">
        <w:rPr>
          <w:rFonts w:ascii="標楷體" w:eastAsia="標楷體" w:hAnsi="標楷體"/>
          <w:color w:val="2F2F2F"/>
        </w:rPr>
        <w:t>生動有力，而且不只是紙面上的白話，還會有民間口語，甚至還引用諺語，將其作為經典進</w:t>
      </w:r>
      <w:r w:rsidRPr="00153632">
        <w:rPr>
          <w:rFonts w:ascii="標楷體" w:eastAsia="標楷體" w:hAnsi="標楷體"/>
          <w:color w:val="2F2F2F"/>
        </w:rPr>
        <w:lastRenderedPageBreak/>
        <w:t>行引用。司馬遷的民間精神體現出樸素的反抗性，例如他對“</w:t>
      </w:r>
      <w:proofErr w:type="gramStart"/>
      <w:r w:rsidRPr="00153632">
        <w:rPr>
          <w:rFonts w:ascii="標楷體" w:eastAsia="標楷體" w:hAnsi="標楷體"/>
          <w:color w:val="2F2F2F"/>
        </w:rPr>
        <w:t>不恥下</w:t>
      </w:r>
      <w:proofErr w:type="gramEnd"/>
      <w:r w:rsidRPr="00153632">
        <w:rPr>
          <w:rFonts w:ascii="標楷體" w:eastAsia="標楷體" w:hAnsi="標楷體"/>
          <w:color w:val="2F2F2F"/>
        </w:rPr>
        <w:t>交”的信陵君的讚賞，他將平民孔子列為世家，</w:t>
      </w:r>
      <w:proofErr w:type="gramStart"/>
      <w:r w:rsidRPr="00153632">
        <w:rPr>
          <w:rFonts w:ascii="標楷體" w:eastAsia="標楷體" w:hAnsi="標楷體"/>
          <w:color w:val="2F2F2F"/>
        </w:rPr>
        <w:t>將陳涉與</w:t>
      </w:r>
      <w:proofErr w:type="gramEnd"/>
      <w:r w:rsidRPr="00153632">
        <w:rPr>
          <w:rFonts w:ascii="標楷體" w:eastAsia="標楷體" w:hAnsi="標楷體"/>
          <w:color w:val="2F2F2F"/>
        </w:rPr>
        <w:t>諸侯並列。</w:t>
      </w:r>
    </w:p>
    <w:p w14:paraId="0EC28C1E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Style w:val="a4"/>
          <w:rFonts w:ascii="標楷體" w:eastAsia="標楷體" w:hAnsi="標楷體"/>
          <w:color w:val="2F2F2F"/>
        </w:rPr>
        <w:t>司馬遷的政治哲學：</w:t>
      </w:r>
    </w:p>
    <w:p w14:paraId="5886248D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從無為的角度，</w:t>
      </w:r>
      <w:proofErr w:type="gramStart"/>
      <w:r w:rsidRPr="00153632">
        <w:rPr>
          <w:rFonts w:ascii="標楷體" w:eastAsia="標楷體" w:hAnsi="標楷體"/>
          <w:color w:val="2F2F2F"/>
        </w:rPr>
        <w:t>反對封禪</w:t>
      </w:r>
      <w:proofErr w:type="gramEnd"/>
      <w:r w:rsidRPr="00153632">
        <w:rPr>
          <w:rFonts w:ascii="標楷體" w:eastAsia="標楷體" w:hAnsi="標楷體"/>
          <w:color w:val="2F2F2F"/>
        </w:rPr>
        <w:t>；反對以嚴刑峻法求得安治；主張守法精神。不過這些也不是絕對的，司馬遷有時也會有所反抗。</w:t>
      </w:r>
    </w:p>
    <w:p w14:paraId="2D352445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相對於法治，更偏向人治。另外，對於戰爭，也是站在自然主義的立場上，認為必要的時候可以用兵。還會站在百姓的角度去發聲</w:t>
      </w:r>
    </w:p>
    <w:p w14:paraId="6ABD25E2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</w:p>
    <w:p w14:paraId="75633F7E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Style w:val="a4"/>
          <w:rFonts w:ascii="標楷體" w:eastAsia="標楷體" w:hAnsi="標楷體"/>
          <w:color w:val="2F2F2F"/>
        </w:rPr>
        <w:t>司馬遷之根本思想</w:t>
      </w:r>
      <w:proofErr w:type="gramStart"/>
      <w:r w:rsidRPr="00153632">
        <w:rPr>
          <w:rStyle w:val="a4"/>
          <w:rFonts w:ascii="標楷體" w:eastAsia="標楷體" w:hAnsi="標楷體"/>
          <w:color w:val="2F2F2F"/>
        </w:rPr>
        <w:t>—</w:t>
      </w:r>
      <w:proofErr w:type="gramEnd"/>
      <w:r w:rsidRPr="00153632">
        <w:rPr>
          <w:rStyle w:val="a4"/>
          <w:rFonts w:ascii="標楷體" w:eastAsia="標楷體" w:hAnsi="標楷體"/>
          <w:color w:val="2F2F2F"/>
        </w:rPr>
        <w:t>道家。</w:t>
      </w:r>
      <w:r w:rsidRPr="00153632">
        <w:rPr>
          <w:rFonts w:ascii="標楷體" w:eastAsia="標楷體" w:hAnsi="標楷體"/>
          <w:color w:val="2F2F2F"/>
        </w:rPr>
        <w:t>司馬遷常常在史記中引用老子的話，並化為自己語言的部分。司馬遷則被周亞夫、項羽、</w:t>
      </w:r>
      <w:proofErr w:type="gramStart"/>
      <w:r w:rsidRPr="00153632">
        <w:rPr>
          <w:rFonts w:ascii="標楷體" w:eastAsia="標楷體" w:hAnsi="標楷體"/>
          <w:color w:val="2F2F2F"/>
        </w:rPr>
        <w:t>黥</w:t>
      </w:r>
      <w:proofErr w:type="gramEnd"/>
      <w:r w:rsidRPr="00153632">
        <w:rPr>
          <w:rFonts w:ascii="標楷體" w:eastAsia="標楷體" w:hAnsi="標楷體"/>
          <w:color w:val="2F2F2F"/>
        </w:rPr>
        <w:t>布等人，大抵都是不懂得老子的“飄風</w:t>
      </w:r>
      <w:proofErr w:type="gramStart"/>
      <w:r w:rsidRPr="00153632">
        <w:rPr>
          <w:rFonts w:ascii="標楷體" w:eastAsia="標楷體" w:hAnsi="標楷體"/>
          <w:color w:val="2F2F2F"/>
        </w:rPr>
        <w:t>不終朝</w:t>
      </w:r>
      <w:proofErr w:type="gramEnd"/>
      <w:r w:rsidRPr="00153632">
        <w:rPr>
          <w:rFonts w:ascii="標楷體" w:eastAsia="標楷體" w:hAnsi="標楷體"/>
          <w:color w:val="2F2F2F"/>
        </w:rPr>
        <w:t>，驟雨</w:t>
      </w:r>
      <w:proofErr w:type="gramStart"/>
      <w:r w:rsidRPr="00153632">
        <w:rPr>
          <w:rFonts w:ascii="標楷體" w:eastAsia="標楷體" w:hAnsi="標楷體"/>
          <w:color w:val="2F2F2F"/>
        </w:rPr>
        <w:t>不</w:t>
      </w:r>
      <w:proofErr w:type="gramEnd"/>
      <w:r w:rsidRPr="00153632">
        <w:rPr>
          <w:rFonts w:ascii="標楷體" w:eastAsia="標楷體" w:hAnsi="標楷體"/>
          <w:color w:val="2F2F2F"/>
        </w:rPr>
        <w:t>終日”的道理，缺少“不自伐故有功，不自</w:t>
      </w:r>
      <w:proofErr w:type="gramStart"/>
      <w:r w:rsidRPr="00153632">
        <w:rPr>
          <w:rFonts w:ascii="標楷體" w:eastAsia="標楷體" w:hAnsi="標楷體"/>
          <w:color w:val="2F2F2F"/>
        </w:rPr>
        <w:t>矜故長</w:t>
      </w:r>
      <w:proofErr w:type="gramEnd"/>
      <w:r w:rsidRPr="00153632">
        <w:rPr>
          <w:rFonts w:ascii="標楷體" w:eastAsia="標楷體" w:hAnsi="標楷體"/>
          <w:color w:val="2F2F2F"/>
        </w:rPr>
        <w:t>”的修養。</w:t>
      </w:r>
    </w:p>
    <w:p w14:paraId="7B87B04B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趙翼《二十二史札記》認為史記為正史立下規模，開創了“通史”。這一說法被章學誠廣大。班固站在古典的立場上指責司馬遷“是非頗</w:t>
      </w:r>
      <w:proofErr w:type="gramStart"/>
      <w:r w:rsidRPr="00153632">
        <w:rPr>
          <w:rFonts w:ascii="標楷體" w:eastAsia="標楷體" w:hAnsi="標楷體"/>
          <w:color w:val="2F2F2F"/>
        </w:rPr>
        <w:t>謬</w:t>
      </w:r>
      <w:proofErr w:type="gramEnd"/>
      <w:r w:rsidRPr="00153632">
        <w:rPr>
          <w:rFonts w:ascii="標楷體" w:eastAsia="標楷體" w:hAnsi="標楷體"/>
          <w:color w:val="2F2F2F"/>
        </w:rPr>
        <w:t>於聖人”，鄭樵《通志總序》</w:t>
      </w:r>
      <w:proofErr w:type="gramStart"/>
      <w:r w:rsidRPr="00153632">
        <w:rPr>
          <w:rFonts w:ascii="標楷體" w:eastAsia="標楷體" w:hAnsi="標楷體"/>
          <w:color w:val="2F2F2F"/>
        </w:rPr>
        <w:t>責其博雅</w:t>
      </w:r>
      <w:proofErr w:type="gramEnd"/>
      <w:r w:rsidRPr="00153632">
        <w:rPr>
          <w:rFonts w:ascii="標楷體" w:eastAsia="標楷體" w:hAnsi="標楷體"/>
          <w:color w:val="2F2F2F"/>
        </w:rPr>
        <w:t>不足，這是從史料是否詳實的角度</w:t>
      </w:r>
      <w:proofErr w:type="gramStart"/>
      <w:r w:rsidRPr="00153632">
        <w:rPr>
          <w:rFonts w:ascii="標楷體" w:eastAsia="標楷體" w:hAnsi="標楷體"/>
          <w:color w:val="2F2F2F"/>
        </w:rPr>
        <w:t>來說的</w:t>
      </w:r>
      <w:proofErr w:type="gramEnd"/>
      <w:r w:rsidRPr="00153632">
        <w:rPr>
          <w:rFonts w:ascii="標楷體" w:eastAsia="標楷體" w:hAnsi="標楷體"/>
          <w:color w:val="2F2F2F"/>
        </w:rPr>
        <w:t>。不過這也體現出司馬遷創作的浪漫所在。</w:t>
      </w:r>
    </w:p>
    <w:p w14:paraId="1F832043" w14:textId="77777777" w:rsidR="00D62408" w:rsidRPr="00153632" w:rsidRDefault="00D62408" w:rsidP="008B5884">
      <w:pPr>
        <w:pStyle w:val="Web"/>
        <w:shd w:val="clear" w:color="auto" w:fill="FFFFFF"/>
        <w:spacing w:before="0" w:beforeAutospacing="0" w:after="0" w:afterAutospacing="0"/>
        <w:ind w:leftChars="200" w:left="480"/>
        <w:rPr>
          <w:rFonts w:ascii="標楷體" w:eastAsia="標楷體" w:hAnsi="標楷體"/>
          <w:color w:val="2F2F2F"/>
        </w:rPr>
      </w:pPr>
      <w:r w:rsidRPr="00153632">
        <w:rPr>
          <w:rStyle w:val="a4"/>
          <w:rFonts w:ascii="標楷體" w:eastAsia="標楷體" w:hAnsi="標楷體"/>
          <w:color w:val="2F2F2F"/>
        </w:rPr>
        <w:t>李長之先生認為其貢獻有以下方面：</w:t>
      </w:r>
    </w:p>
    <w:p w14:paraId="04797D4A" w14:textId="77777777" w:rsidR="00D62408" w:rsidRPr="00153632" w:rsidRDefault="00D62408" w:rsidP="008B5884">
      <w:pPr>
        <w:pStyle w:val="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歷史學家的可貴在於有“歷史意識”，由此才能有“歷史範疇”，即演變，司馬遷關注的是“終始”“漸變”。他的歷史意識體現在“通古今之變”</w:t>
      </w:r>
    </w:p>
    <w:p w14:paraId="43C83648" w14:textId="77777777" w:rsidR="00D62408" w:rsidRPr="00153632" w:rsidRDefault="00D62408" w:rsidP="008B5884">
      <w:pPr>
        <w:pStyle w:val="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司馬遷有自己的史觀，即歷史哲學。體現在“究天人之際”，即客觀力量與主觀行為的消長。而同時，這種客觀力量也是處於動態變化之中的</w:t>
      </w:r>
    </w:p>
    <w:p w14:paraId="72D73D0C" w14:textId="77777777" w:rsidR="00D62408" w:rsidRPr="00153632" w:rsidRDefault="00D62408" w:rsidP="008B5884">
      <w:pPr>
        <w:pStyle w:val="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繼承中國學者傳統，不易客觀事實為限，而是學以致用，悟出智慧。</w:t>
      </w:r>
    </w:p>
    <w:p w14:paraId="464DEDD8" w14:textId="77777777" w:rsidR="00D62408" w:rsidRPr="00153632" w:rsidRDefault="00D62408" w:rsidP="008B5884">
      <w:pPr>
        <w:pStyle w:val="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司馬遷的歷史是真正整個人類活動的歷史，這在於其設計的範圍廣度，不在於史料的多少。</w:t>
      </w:r>
    </w:p>
    <w:p w14:paraId="36AA544E" w14:textId="77777777" w:rsidR="00D62408" w:rsidRPr="00153632" w:rsidRDefault="00D62408" w:rsidP="008B5884">
      <w:pPr>
        <w:pStyle w:val="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在記錄人類活動的過程中難得的太高了平民的位置。</w:t>
      </w:r>
    </w:p>
    <w:p w14:paraId="3F711033" w14:textId="77777777" w:rsidR="00D62408" w:rsidRPr="00153632" w:rsidRDefault="00D62408" w:rsidP="008B5884">
      <w:pPr>
        <w:pStyle w:val="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在歷史科學的方法上貢獻尤為大，從廣度走向深度。首先，不僅僅是政治史，還涉及文化/社會/經濟；其次，按照縱向演化的線索進行。</w:t>
      </w:r>
    </w:p>
    <w:p w14:paraId="6F874286" w14:textId="77777777" w:rsidR="00241FF2" w:rsidRPr="00153632" w:rsidRDefault="00D62408" w:rsidP="008B5884">
      <w:pPr>
        <w:pStyle w:val="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2F2F2F"/>
        </w:rPr>
      </w:pPr>
      <w:r w:rsidRPr="00153632">
        <w:rPr>
          <w:rFonts w:ascii="標楷體" w:eastAsia="標楷體" w:hAnsi="標楷體"/>
          <w:color w:val="2F2F2F"/>
        </w:rPr>
        <w:t>對中國歷史有新見地，體現在對秦的認識</w:t>
      </w:r>
    </w:p>
    <w:p w14:paraId="33101241" w14:textId="77777777" w:rsidR="00097675" w:rsidRPr="00153632" w:rsidRDefault="00097675" w:rsidP="00D62408">
      <w:pPr>
        <w:rPr>
          <w:rFonts w:ascii="標楷體" w:eastAsia="標楷體" w:hAnsi="標楷體"/>
          <w:szCs w:val="24"/>
        </w:rPr>
      </w:pPr>
      <w:r w:rsidRPr="00153632">
        <w:rPr>
          <w:rFonts w:ascii="標楷體" w:eastAsia="標楷體" w:hAnsi="標楷體" w:hint="eastAsia"/>
          <w:szCs w:val="24"/>
        </w:rPr>
        <w:t>閱讀心得</w:t>
      </w:r>
    </w:p>
    <w:p w14:paraId="0A991FF5" w14:textId="77777777" w:rsidR="00241FF2" w:rsidRPr="00153632" w:rsidRDefault="008B5884" w:rsidP="008B5884">
      <w:pPr>
        <w:pStyle w:val="a3"/>
        <w:ind w:leftChars="0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《</w:t>
      </w:r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司馬遷之人格與風格》是</w:t>
      </w:r>
      <w:hyperlink r:id="rId5" w:tgtFrame="_blank" w:history="1">
        <w:r w:rsidRPr="00153632">
          <w:rPr>
            <w:rStyle w:val="a5"/>
            <w:rFonts w:ascii="標楷體" w:eastAsia="標楷體" w:hAnsi="標楷體" w:cs="Arial"/>
            <w:color w:val="auto"/>
            <w:szCs w:val="24"/>
            <w:u w:val="none"/>
            <w:shd w:val="clear" w:color="auto" w:fill="FFFFFF"/>
          </w:rPr>
          <w:t>史記</w:t>
        </w:r>
      </w:hyperlink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學發展史上</w:t>
      </w:r>
      <w:proofErr w:type="gramStart"/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第一部以章節</w:t>
      </w:r>
      <w:proofErr w:type="gramEnd"/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體全面評介司馬遷及《史記》的專著。對司馬遷的評述，討論了他處的時代，追溯了他的家學淵源，勾勒了他的生平、思想；對《史記》的評述，推測了各篇的創作</w:t>
      </w:r>
      <w:proofErr w:type="gramStart"/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順序及缺補</w:t>
      </w:r>
      <w:proofErr w:type="gramEnd"/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，內容分析從哲學、史學、美學、文學各個角度全面分析其內涵和價值。</w:t>
      </w:r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作者</w:t>
      </w:r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對《史記》藝術的分析，獨樹一幟，獲得了許多創見。他用統一律、內外</w:t>
      </w:r>
      <w:proofErr w:type="gramStart"/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諧和律、對照律</w:t>
      </w:r>
      <w:proofErr w:type="gramEnd"/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、對稱律、上升律、奇兵律、減輕律、建築結構與韻律等美學律則分析《史記》的藝術成就，給人以耳目一新之</w:t>
      </w:r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lastRenderedPageBreak/>
        <w:t>感。</w:t>
      </w:r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作者</w:t>
      </w:r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尤其強調《史記》的抒情性，稱司馬遷是一個不朽的抒情詩人，稱《史記》既是史學，又是一部絕好的史詩和個人傳記。它鮮明的表現了評論者的個性的一家之言，</w:t>
      </w:r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對我</w:t>
      </w:r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深入體會司馬遷的思想、風格也是有啓發的。</w:t>
      </w:r>
    </w:p>
    <w:p w14:paraId="2F6BB366" w14:textId="77777777" w:rsidR="003C485E" w:rsidRPr="00153632" w:rsidRDefault="003C485E" w:rsidP="008B5884">
      <w:pPr>
        <w:pStyle w:val="a3"/>
        <w:ind w:leftChars="0"/>
        <w:rPr>
          <w:rFonts w:ascii="標楷體" w:eastAsia="標楷體" w:hAnsi="標楷體" w:cs="Arial"/>
          <w:color w:val="333333"/>
          <w:szCs w:val="24"/>
          <w:shd w:val="clear" w:color="auto" w:fill="FFFFFF"/>
        </w:rPr>
      </w:pPr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司馬遷</w:t>
      </w:r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《史記》</w:t>
      </w:r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不僅僅是一本史學巨著，也是一本文學巨著，他的文字灌注了司馬遷非常深厚的感情，而且講很多事情非常的生動，文字非常的優美，很多後人在學寫古文的時候，都是向</w:t>
      </w:r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《史記》</w:t>
      </w:r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學習的，。同時因為她有當時的情況，非常生動!像是項羽烏江自刎、 路大戰，這樣的大場景的描寫，後代的章回小說都難以企及。</w:t>
      </w:r>
      <w:proofErr w:type="gramStart"/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一</w:t>
      </w:r>
      <w:proofErr w:type="gramEnd"/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直到明朝時，有了</w:t>
      </w:r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《</w:t>
      </w:r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三國演義</w:t>
      </w:r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》</w:t>
      </w:r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的時候，那種大戰爭場面的描寫，才可以和</w:t>
      </w:r>
      <w:r w:rsidRPr="00153632">
        <w:rPr>
          <w:rFonts w:ascii="標楷體" w:eastAsia="標楷體" w:hAnsi="標楷體" w:cs="Arial"/>
          <w:color w:val="333333"/>
          <w:szCs w:val="24"/>
          <w:shd w:val="clear" w:color="auto" w:fill="FFFFFF"/>
        </w:rPr>
        <w:t>《史記》</w:t>
      </w:r>
      <w:r w:rsidRPr="00153632">
        <w:rPr>
          <w:rFonts w:ascii="標楷體" w:eastAsia="標楷體" w:hAnsi="標楷體" w:cs="Arial" w:hint="eastAsia"/>
          <w:color w:val="333333"/>
          <w:szCs w:val="24"/>
          <w:shd w:val="clear" w:color="auto" w:fill="FFFFFF"/>
        </w:rPr>
        <w:t>相比。</w:t>
      </w:r>
    </w:p>
    <w:p w14:paraId="51CE2F23" w14:textId="77777777" w:rsidR="00097675" w:rsidRPr="00153632" w:rsidRDefault="00097675" w:rsidP="00D62408">
      <w:pPr>
        <w:rPr>
          <w:rFonts w:ascii="標楷體" w:eastAsia="標楷體" w:hAnsi="標楷體"/>
          <w:szCs w:val="24"/>
        </w:rPr>
      </w:pPr>
      <w:r w:rsidRPr="00153632">
        <w:rPr>
          <w:rFonts w:ascii="標楷體" w:eastAsia="標楷體" w:hAnsi="標楷體" w:hint="eastAsia"/>
          <w:szCs w:val="24"/>
        </w:rPr>
        <w:t>參考文獻</w:t>
      </w:r>
    </w:p>
    <w:p w14:paraId="6DF33ECF" w14:textId="77777777" w:rsidR="00241FF2" w:rsidRPr="00153632" w:rsidRDefault="00241FF2" w:rsidP="008B588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153632">
        <w:rPr>
          <w:rFonts w:ascii="標楷體" w:eastAsia="標楷體" w:hAnsi="標楷體" w:hint="eastAsia"/>
          <w:szCs w:val="24"/>
        </w:rPr>
        <w:t>《司馬遷之人格與風格》，</w:t>
      </w:r>
      <w:proofErr w:type="gramStart"/>
      <w:r w:rsidRPr="00153632">
        <w:rPr>
          <w:rFonts w:ascii="標楷體" w:eastAsia="標楷體" w:hAnsi="標楷體" w:hint="eastAsia"/>
          <w:szCs w:val="24"/>
        </w:rPr>
        <w:t>李長之著</w:t>
      </w:r>
      <w:proofErr w:type="gramEnd"/>
      <w:r w:rsidRPr="00153632">
        <w:rPr>
          <w:rFonts w:ascii="標楷體" w:eastAsia="標楷體" w:hAnsi="標楷體" w:hint="eastAsia"/>
          <w:szCs w:val="24"/>
        </w:rPr>
        <w:t>，李仁書局，1997</w:t>
      </w:r>
      <w:r w:rsidR="008B5884" w:rsidRPr="00153632">
        <w:rPr>
          <w:rFonts w:ascii="標楷體" w:eastAsia="標楷體" w:hAnsi="標楷體" w:hint="eastAsia"/>
          <w:szCs w:val="24"/>
        </w:rPr>
        <w:t>。</w:t>
      </w:r>
    </w:p>
    <w:p w14:paraId="27BD7706" w14:textId="77777777" w:rsidR="00241FF2" w:rsidRPr="00153632" w:rsidRDefault="008B5884" w:rsidP="008B588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proofErr w:type="gramStart"/>
      <w:r w:rsidRPr="00153632">
        <w:rPr>
          <w:rFonts w:ascii="標楷體" w:eastAsia="標楷體" w:hAnsi="標楷體" w:hint="eastAsia"/>
          <w:szCs w:val="24"/>
        </w:rPr>
        <w:t>維基文庫</w:t>
      </w:r>
      <w:proofErr w:type="gramEnd"/>
      <w:r w:rsidRPr="00153632">
        <w:rPr>
          <w:rFonts w:ascii="標楷體" w:eastAsia="標楷體" w:hAnsi="標楷體"/>
          <w:szCs w:val="24"/>
        </w:rPr>
        <w:fldChar w:fldCharType="begin"/>
      </w:r>
      <w:r w:rsidRPr="00153632">
        <w:rPr>
          <w:rFonts w:ascii="標楷體" w:eastAsia="標楷體" w:hAnsi="標楷體"/>
          <w:szCs w:val="24"/>
        </w:rPr>
        <w:instrText xml:space="preserve"> HYPERLINK "https://zh.m.wikipedia.org/zh-tw/%E5%8F%B8%E9%A6%AC%E9%81%B7" </w:instrText>
      </w:r>
      <w:r w:rsidRPr="00153632">
        <w:rPr>
          <w:rFonts w:ascii="標楷體" w:eastAsia="標楷體" w:hAnsi="標楷體"/>
          <w:szCs w:val="24"/>
        </w:rPr>
        <w:fldChar w:fldCharType="separate"/>
      </w:r>
      <w:r w:rsidRPr="00153632">
        <w:rPr>
          <w:rStyle w:val="a5"/>
          <w:rFonts w:ascii="標楷體" w:eastAsia="標楷體" w:hAnsi="標楷體"/>
          <w:szCs w:val="24"/>
        </w:rPr>
        <w:t>https://zh.m.wikipedia.org/zh-tw/%E5%8F%B8%E9%A6%AC%E9%81%B7</w:t>
      </w:r>
      <w:r w:rsidRPr="00153632">
        <w:rPr>
          <w:rFonts w:ascii="標楷體" w:eastAsia="標楷體" w:hAnsi="標楷體"/>
          <w:szCs w:val="24"/>
        </w:rPr>
        <w:fldChar w:fldCharType="end"/>
      </w:r>
    </w:p>
    <w:p w14:paraId="61589584" w14:textId="7D8752B0" w:rsidR="00091B94" w:rsidRPr="00153632" w:rsidRDefault="008B5884" w:rsidP="009267C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153632">
        <w:rPr>
          <w:rFonts w:ascii="標楷體" w:eastAsia="標楷體" w:hAnsi="標楷體" w:hint="eastAsia"/>
          <w:szCs w:val="24"/>
        </w:rPr>
        <w:t>《司馬遷和他的歷史學》，</w:t>
      </w:r>
      <w:proofErr w:type="gramStart"/>
      <w:r w:rsidRPr="00153632">
        <w:rPr>
          <w:rFonts w:ascii="標楷體" w:eastAsia="標楷體" w:hAnsi="標楷體" w:hint="eastAsia"/>
          <w:szCs w:val="24"/>
        </w:rPr>
        <w:t>翦</w:t>
      </w:r>
      <w:proofErr w:type="gramEnd"/>
      <w:r w:rsidRPr="00153632">
        <w:rPr>
          <w:rFonts w:ascii="標楷體" w:eastAsia="標楷體" w:hAnsi="標楷體" w:hint="eastAsia"/>
          <w:szCs w:val="24"/>
        </w:rPr>
        <w:t>伯</w:t>
      </w:r>
      <w:proofErr w:type="gramStart"/>
      <w:r w:rsidRPr="00153632">
        <w:rPr>
          <w:rFonts w:ascii="標楷體" w:eastAsia="標楷體" w:hAnsi="標楷體" w:hint="eastAsia"/>
          <w:szCs w:val="24"/>
        </w:rPr>
        <w:t>贊著</w:t>
      </w:r>
      <w:proofErr w:type="gramEnd"/>
      <w:r w:rsidRPr="00153632">
        <w:rPr>
          <w:rFonts w:ascii="標楷體" w:eastAsia="標楷體" w:hAnsi="標楷體" w:hint="eastAsia"/>
          <w:szCs w:val="24"/>
        </w:rPr>
        <w:t>，香港中和出版有限公司。</w:t>
      </w:r>
    </w:p>
    <w:sectPr w:rsidR="00091B94" w:rsidRPr="001536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57C27"/>
    <w:multiLevelType w:val="hybridMultilevel"/>
    <w:tmpl w:val="490CE22A"/>
    <w:lvl w:ilvl="0" w:tplc="82707C32">
      <w:start w:val="1"/>
      <w:numFmt w:val="decimal"/>
      <w:lvlText w:val="%1."/>
      <w:lvlJc w:val="left"/>
      <w:pPr>
        <w:ind w:left="960" w:hanging="480"/>
      </w:pPr>
      <w:rPr>
        <w:rFonts w:ascii="標楷體" w:hAnsi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C816A44"/>
    <w:multiLevelType w:val="hybridMultilevel"/>
    <w:tmpl w:val="99E8DA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90206B4"/>
    <w:multiLevelType w:val="hybridMultilevel"/>
    <w:tmpl w:val="89C01CB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9F405D"/>
    <w:multiLevelType w:val="hybridMultilevel"/>
    <w:tmpl w:val="FBB27C44"/>
    <w:lvl w:ilvl="0" w:tplc="82707C32">
      <w:start w:val="1"/>
      <w:numFmt w:val="decimal"/>
      <w:lvlText w:val="%1."/>
      <w:lvlJc w:val="left"/>
      <w:pPr>
        <w:ind w:left="960" w:hanging="480"/>
      </w:pPr>
      <w:rPr>
        <w:rFonts w:ascii="標楷體" w:hAnsi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75"/>
    <w:rsid w:val="00082C4C"/>
    <w:rsid w:val="00091B94"/>
    <w:rsid w:val="00097675"/>
    <w:rsid w:val="00153632"/>
    <w:rsid w:val="00241FF2"/>
    <w:rsid w:val="003C485E"/>
    <w:rsid w:val="004716D6"/>
    <w:rsid w:val="005B7019"/>
    <w:rsid w:val="0076076E"/>
    <w:rsid w:val="00854687"/>
    <w:rsid w:val="008B5884"/>
    <w:rsid w:val="00BF59B7"/>
    <w:rsid w:val="00D6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F9F59"/>
  <w15:chartTrackingRefBased/>
  <w15:docId w15:val="{ECE03791-0AD5-4921-9E2A-322222A8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675"/>
    <w:pPr>
      <w:ind w:leftChars="200" w:left="480"/>
    </w:pPr>
  </w:style>
  <w:style w:type="paragraph" w:styleId="Web">
    <w:name w:val="Normal (Web)"/>
    <w:basedOn w:val="a"/>
    <w:uiPriority w:val="99"/>
    <w:unhideWhenUsed/>
    <w:rsid w:val="00D6240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D62408"/>
    <w:rPr>
      <w:b/>
      <w:bCs/>
    </w:rPr>
  </w:style>
  <w:style w:type="character" w:styleId="a5">
    <w:name w:val="Hyperlink"/>
    <w:basedOn w:val="a0"/>
    <w:uiPriority w:val="99"/>
    <w:unhideWhenUsed/>
    <w:rsid w:val="008B588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5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ike.baidu.hk/item/%E5%8F%B2%E8%A8%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李俊豪</dc:creator>
  <cp:keywords/>
  <dc:description/>
  <cp:lastModifiedBy>蔡欣潔</cp:lastModifiedBy>
  <cp:revision>3</cp:revision>
  <dcterms:created xsi:type="dcterms:W3CDTF">2022-05-22T11:16:00Z</dcterms:created>
  <dcterms:modified xsi:type="dcterms:W3CDTF">2022-05-25T06:13:00Z</dcterms:modified>
</cp:coreProperties>
</file>