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407" w:rsidRPr="00EA7A2C" w:rsidRDefault="00CF3407" w:rsidP="00CF3407">
      <w:pPr>
        <w:pStyle w:val="a7"/>
        <w:spacing w:after="0"/>
        <w:jc w:val="center"/>
        <w:rPr>
          <w:rFonts w:ascii="Times New Roman" w:eastAsia="標楷體" w:hAnsi="Times New Roman"/>
          <w:color w:val="000000"/>
          <w:sz w:val="28"/>
        </w:rPr>
      </w:pPr>
      <w:r w:rsidRPr="00EA7A2C">
        <w:rPr>
          <w:rFonts w:ascii="Times New Roman" w:eastAsia="標楷體" w:hAnsi="Times New Roman" w:hint="eastAsia"/>
          <w:color w:val="000000"/>
          <w:sz w:val="28"/>
        </w:rPr>
        <w:t>公共藝術對城市意象塑造之探討</w:t>
      </w:r>
      <w:r w:rsidRPr="00EA7A2C">
        <w:rPr>
          <w:rFonts w:ascii="Times New Roman" w:eastAsia="標楷體" w:hAnsi="Times New Roman"/>
          <w:color w:val="000000"/>
          <w:sz w:val="28"/>
        </w:rPr>
        <w:t xml:space="preserve"> ─</w:t>
      </w:r>
      <w:r w:rsidRPr="00EA7A2C">
        <w:rPr>
          <w:rFonts w:ascii="Times New Roman" w:eastAsia="標楷體" w:hAnsi="Times New Roman" w:hint="eastAsia"/>
          <w:color w:val="000000"/>
          <w:sz w:val="28"/>
        </w:rPr>
        <w:t>台北市</w:t>
      </w:r>
      <w:r w:rsidRPr="00EA7A2C">
        <w:rPr>
          <w:rFonts w:ascii="Times New Roman" w:eastAsia="標楷體" w:hAnsi="Times New Roman"/>
          <w:color w:val="000000"/>
          <w:sz w:val="28"/>
        </w:rPr>
        <w:t xml:space="preserve"> </w:t>
      </w:r>
    </w:p>
    <w:p w:rsidR="00CF3407" w:rsidRPr="00EA7A2C" w:rsidRDefault="00CF3407" w:rsidP="00CF3407">
      <w:pPr>
        <w:pStyle w:val="a7"/>
        <w:spacing w:after="0"/>
        <w:rPr>
          <w:rFonts w:ascii="Times New Roman" w:eastAsia="標楷體" w:hAnsi="Times New Roman"/>
        </w:rPr>
      </w:pPr>
      <w:r w:rsidRPr="00EA7A2C">
        <w:rPr>
          <w:rFonts w:ascii="Times New Roman" w:eastAsia="標楷體" w:hAnsi="Times New Roman"/>
          <w:color w:val="373A3C"/>
        </w:rPr>
        <w:t>(1)</w:t>
      </w:r>
      <w:r w:rsidRPr="00EA7A2C">
        <w:rPr>
          <w:rFonts w:ascii="Times New Roman" w:eastAsia="標楷體" w:hAnsi="Times New Roman" w:hint="eastAsia"/>
          <w:color w:val="373A3C"/>
        </w:rPr>
        <w:t>書籍或文章的閱讀動機</w:t>
      </w:r>
      <w:r w:rsidRPr="00EA7A2C">
        <w:rPr>
          <w:rFonts w:ascii="Times New Roman" w:eastAsia="標楷體" w:hAnsi="Times New Roman"/>
          <w:color w:val="000000"/>
        </w:rPr>
        <w:t xml:space="preserve"> </w:t>
      </w:r>
    </w:p>
    <w:p w:rsidR="00CF3407" w:rsidRPr="00EA7A2C" w:rsidRDefault="00CF3407" w:rsidP="00CF3407">
      <w:pPr>
        <w:pStyle w:val="a7"/>
        <w:spacing w:after="0"/>
        <w:rPr>
          <w:rFonts w:hint="eastAsia"/>
        </w:rPr>
      </w:pPr>
      <w:r w:rsidRPr="00EA7A2C">
        <w:rPr>
          <w:rFonts w:ascii="Times New Roman" w:eastAsia="標楷體" w:hAnsi="Times New Roman"/>
          <w:color w:val="000000"/>
        </w:rPr>
        <w:tab/>
      </w:r>
      <w:r w:rsidRPr="00EA7A2C">
        <w:rPr>
          <w:rFonts w:ascii="標楷體" w:eastAsia="標楷體" w:hAnsi="標楷體" w:hint="eastAsia"/>
          <w:color w:val="000000"/>
        </w:rPr>
        <w:t>台灣公共藝術歷經二十多年的發展，公共藝術範疇不斷被擴大，其存在於城 市空間的意義已不僅僅是當下場域環境的美化，更被賦予著社會議題探討、社區 意識認同或擔負形塑城市意象的策略之一。公共藝術與城市意象兩者之間的關聯 性為何？公共藝術如何去塑造城市意</w:t>
      </w:r>
      <w:bookmarkStart w:id="0" w:name="_GoBack"/>
      <w:bookmarkEnd w:id="0"/>
      <w:r w:rsidRPr="00EA7A2C">
        <w:rPr>
          <w:rFonts w:ascii="標楷體" w:eastAsia="標楷體" w:hAnsi="標楷體" w:hint="eastAsia"/>
          <w:color w:val="000000"/>
        </w:rPr>
        <w:t>象？這是本研究試圖探究的核心議題。 台北市擁有龐大的公共藝術資源，在公共藝術計畫概念及操作機制上扮演著 引領先驅的角色。本研究以台北市為例，企圖梳理出其公共藝術發展的脈絡，從 中擇取近年來發展出的「節慶化」、「社區營造」指標性的公共藝術計畫作為研究 個案，進行相互辯證，以瞭解公共藝術對於城市意象塑造所產生的影響及層面， 及公共藝術在其藝術本質上對於城市意象塑造被感知的程度與限制。透過相關個案的相互辨證研究，經由分析後歸納出三點建議：</w:t>
      </w:r>
    </w:p>
    <w:p w:rsidR="00CF3407" w:rsidRPr="00EA7A2C" w:rsidRDefault="00CF3407" w:rsidP="00CF3407">
      <w:pPr>
        <w:pStyle w:val="a7"/>
        <w:spacing w:after="0"/>
        <w:rPr>
          <w:rFonts w:hint="eastAsia"/>
        </w:rPr>
      </w:pPr>
      <w:r w:rsidRPr="00EA7A2C">
        <w:rPr>
          <w:rFonts w:ascii="標楷體" w:eastAsia="標楷體" w:hAnsi="標楷體" w:hint="eastAsia"/>
          <w:color w:val="000000"/>
        </w:rPr>
        <w:tab/>
      </w:r>
      <w:r w:rsidRPr="00EA7A2C">
        <w:rPr>
          <w:rFonts w:ascii="Times New Roman" w:eastAsia="Times New Roman" w:hAnsi="Times New Roman"/>
          <w:color w:val="000000"/>
        </w:rPr>
        <w:t>(</w:t>
      </w:r>
      <w:r w:rsidRPr="00EA7A2C">
        <w:rPr>
          <w:rFonts w:ascii="Times New Roman" w:eastAsia="標楷體" w:hAnsi="Times New Roman" w:hint="eastAsia"/>
          <w:color w:val="000000"/>
        </w:rPr>
        <w:t>一</w:t>
      </w:r>
      <w:r w:rsidRPr="00EA7A2C">
        <w:rPr>
          <w:rFonts w:ascii="Times New Roman" w:eastAsia="Times New Roman" w:hAnsi="Times New Roman"/>
          <w:color w:val="000000"/>
        </w:rPr>
        <w:t>)</w:t>
      </w:r>
      <w:r w:rsidRPr="00EA7A2C">
        <w:rPr>
          <w:rFonts w:ascii="標楷體" w:eastAsia="標楷體" w:hAnsi="標楷體" w:hint="eastAsia"/>
          <w:color w:val="000000"/>
        </w:rPr>
        <w:t>公共藝術 介入城市空間，必須回應個體或群體的生活經驗。</w:t>
      </w:r>
    </w:p>
    <w:p w:rsidR="00CF3407" w:rsidRPr="00EA7A2C" w:rsidRDefault="00CF3407" w:rsidP="00CF3407">
      <w:pPr>
        <w:pStyle w:val="a7"/>
        <w:spacing w:after="0"/>
        <w:rPr>
          <w:rFonts w:hint="eastAsia"/>
        </w:rPr>
      </w:pPr>
      <w:r w:rsidRPr="00EA7A2C">
        <w:rPr>
          <w:rFonts w:ascii="標楷體" w:eastAsia="標楷體" w:hAnsi="標楷體" w:hint="eastAsia"/>
          <w:color w:val="000000"/>
        </w:rPr>
        <w:tab/>
      </w:r>
      <w:r w:rsidRPr="00EA7A2C">
        <w:rPr>
          <w:rFonts w:ascii="Times New Roman" w:eastAsia="Times New Roman" w:hAnsi="Times New Roman"/>
          <w:color w:val="000000"/>
        </w:rPr>
        <w:t>(</w:t>
      </w:r>
      <w:r w:rsidRPr="00EA7A2C">
        <w:rPr>
          <w:rFonts w:ascii="標楷體" w:eastAsia="標楷體" w:hAnsi="標楷體" w:hint="eastAsia"/>
          <w:color w:val="000000"/>
        </w:rPr>
        <w:t>二</w:t>
      </w:r>
      <w:r w:rsidRPr="00EA7A2C">
        <w:rPr>
          <w:rFonts w:ascii="Times New Roman" w:eastAsia="Times New Roman" w:hAnsi="Times New Roman"/>
          <w:color w:val="000000"/>
        </w:rPr>
        <w:t>)</w:t>
      </w:r>
      <w:r w:rsidRPr="00EA7A2C">
        <w:rPr>
          <w:rFonts w:ascii="標楷體" w:eastAsia="標楷體" w:hAnsi="標楷體" w:hint="eastAsia"/>
          <w:color w:val="000000"/>
        </w:rPr>
        <w:t>城市意象的塑造，需要時 間持續性的累積。</w:t>
      </w:r>
    </w:p>
    <w:p w:rsidR="00CF3407" w:rsidRPr="00EA7A2C" w:rsidRDefault="00CF3407" w:rsidP="00CF3407">
      <w:pPr>
        <w:pStyle w:val="a7"/>
        <w:spacing w:after="0"/>
        <w:rPr>
          <w:rFonts w:hint="eastAsia"/>
        </w:rPr>
      </w:pPr>
      <w:r w:rsidRPr="00EA7A2C">
        <w:rPr>
          <w:rFonts w:ascii="標楷體" w:eastAsia="標楷體" w:hAnsi="標楷體" w:hint="eastAsia"/>
          <w:color w:val="000000"/>
        </w:rPr>
        <w:tab/>
      </w:r>
      <w:r w:rsidRPr="00EA7A2C">
        <w:rPr>
          <w:rFonts w:ascii="Times New Roman" w:eastAsia="標楷體" w:hAnsi="Times New Roman"/>
          <w:color w:val="000000"/>
        </w:rPr>
        <w:t>(</w:t>
      </w:r>
      <w:r w:rsidRPr="00EA7A2C">
        <w:rPr>
          <w:rFonts w:ascii="標楷體" w:eastAsia="標楷體" w:hAnsi="標楷體" w:hint="eastAsia"/>
          <w:color w:val="000000"/>
        </w:rPr>
        <w:t>三</w:t>
      </w:r>
      <w:r w:rsidRPr="00EA7A2C">
        <w:rPr>
          <w:rFonts w:ascii="Times New Roman" w:eastAsia="標楷體" w:hAnsi="Times New Roman"/>
          <w:color w:val="000000"/>
        </w:rPr>
        <w:t>)</w:t>
      </w:r>
      <w:r w:rsidRPr="00EA7A2C">
        <w:rPr>
          <w:rFonts w:ascii="標楷體" w:eastAsia="標楷體" w:hAnsi="標楷體" w:hint="eastAsia"/>
          <w:color w:val="000000"/>
        </w:rPr>
        <w:t>以公共藝術作為城市意象的策略，必須創造群聚效應。</w:t>
      </w:r>
    </w:p>
    <w:p w:rsidR="00CF3407" w:rsidRPr="00EA7A2C" w:rsidRDefault="00CF3407" w:rsidP="00CF3407">
      <w:pPr>
        <w:pStyle w:val="a7"/>
        <w:spacing w:after="0"/>
        <w:rPr>
          <w:rFonts w:ascii="標楷體" w:eastAsia="標楷體" w:hAnsi="標楷體"/>
          <w:color w:val="000000"/>
        </w:rPr>
      </w:pPr>
      <w:r w:rsidRPr="00EA7A2C">
        <w:rPr>
          <w:rFonts w:ascii="標楷體" w:eastAsia="標楷體" w:hAnsi="標楷體" w:hint="eastAsia"/>
          <w:color w:val="000000"/>
        </w:rPr>
        <w:t xml:space="preserve"> </w:t>
      </w:r>
    </w:p>
    <w:p w:rsidR="00CF3407" w:rsidRPr="00EA7A2C" w:rsidRDefault="00CF3407" w:rsidP="00CF3407">
      <w:pPr>
        <w:pStyle w:val="a7"/>
        <w:spacing w:after="0"/>
        <w:rPr>
          <w:rFonts w:ascii="Times New Roman" w:eastAsia="標楷體" w:hAnsi="Times New Roman"/>
        </w:rPr>
      </w:pPr>
      <w:r w:rsidRPr="00EA7A2C">
        <w:rPr>
          <w:rFonts w:ascii="Times New Roman" w:eastAsia="標楷體" w:hAnsi="Times New Roman"/>
          <w:color w:val="373A3C"/>
        </w:rPr>
        <w:t>(2)</w:t>
      </w:r>
      <w:r w:rsidRPr="00EA7A2C">
        <w:rPr>
          <w:rFonts w:ascii="Times New Roman" w:eastAsia="標楷體" w:hAnsi="Times New Roman" w:hint="eastAsia"/>
          <w:color w:val="373A3C"/>
        </w:rPr>
        <w:t>獲得書籍或文章啟發的章節內容</w:t>
      </w:r>
    </w:p>
    <w:p w:rsidR="00CF3407" w:rsidRPr="00EA7A2C" w:rsidRDefault="00CF3407" w:rsidP="00CF3407">
      <w:pPr>
        <w:pStyle w:val="a7"/>
        <w:spacing w:after="0"/>
        <w:jc w:val="center"/>
        <w:rPr>
          <w:rFonts w:hint="eastAsia"/>
        </w:rPr>
      </w:pPr>
      <w:r w:rsidRPr="00EA7A2C">
        <w:rPr>
          <w:rFonts w:ascii="Times New Roman" w:eastAsia="標楷體" w:hAnsi="Times New Roman"/>
          <w:color w:val="373A3C"/>
        </w:rPr>
        <w:tab/>
      </w:r>
      <w:r w:rsidRPr="00EA7A2C">
        <w:rPr>
          <w:rFonts w:ascii="標楷體" w:eastAsia="標楷體" w:hAnsi="標楷體" w:hint="eastAsia"/>
          <w:color w:val="373A3C"/>
        </w:rPr>
        <w:t xml:space="preserve">第三節 公共藝術與城市意象的關聯 </w:t>
      </w:r>
    </w:p>
    <w:p w:rsidR="00CF3407" w:rsidRPr="00EA7A2C" w:rsidRDefault="00CF3407" w:rsidP="00CF3407">
      <w:pPr>
        <w:pStyle w:val="a7"/>
        <w:spacing w:after="0"/>
        <w:jc w:val="both"/>
        <w:rPr>
          <w:rFonts w:ascii="標楷體" w:eastAsia="標楷體" w:hAnsi="標楷體"/>
          <w:color w:val="373A3C"/>
        </w:rPr>
      </w:pPr>
      <w:r w:rsidRPr="00EA7A2C">
        <w:rPr>
          <w:rFonts w:ascii="標楷體" w:eastAsia="標楷體" w:hAnsi="標楷體" w:hint="eastAsia"/>
          <w:color w:val="373A3C"/>
        </w:rPr>
        <w:t xml:space="preserve">一、城市意象的塑造 </w:t>
      </w:r>
    </w:p>
    <w:p w:rsidR="00CF3407" w:rsidRPr="00EA7A2C" w:rsidRDefault="00CF3407" w:rsidP="00CF3407">
      <w:pPr>
        <w:pStyle w:val="a7"/>
        <w:spacing w:after="0"/>
        <w:jc w:val="both"/>
        <w:rPr>
          <w:rFonts w:hint="eastAsia"/>
        </w:rPr>
      </w:pPr>
      <w:r w:rsidRPr="00EA7A2C">
        <w:rPr>
          <w:rFonts w:ascii="標楷體" w:eastAsia="標楷體" w:hAnsi="標楷體" w:hint="eastAsia"/>
          <w:color w:val="373A3C"/>
        </w:rPr>
        <w:tab/>
        <w:t>建築是構成城市的主體要件，一個城市的發展需要有時間厚度的人文歷史， 加上以街道、街區、廣場為單位相互連結成具有獨特風格的建築聚落，才有可能產生與眾不同的魅力。因此在城市發展的過程中往往可具體而明確的反映出該地的文化面貌，城市的意象則顯現出當地的文化特質及場所精神，根據葉光毅、黃 幹忠二人</w:t>
      </w:r>
      <w:r w:rsidRPr="00EA7A2C">
        <w:rPr>
          <w:rFonts w:ascii="Times New Roman" w:eastAsia="標楷體" w:hAnsi="Times New Roman"/>
          <w:color w:val="373A3C"/>
        </w:rPr>
        <w:t>(2000)</w:t>
      </w:r>
      <w:r w:rsidRPr="00EA7A2C">
        <w:rPr>
          <w:rFonts w:ascii="標楷體" w:eastAsia="標楷體" w:hAnsi="標楷體" w:hint="eastAsia"/>
          <w:color w:val="373A3C"/>
        </w:rPr>
        <w:t>的見解塑造都市意象 從空間的形式去討論公共藝術與城市意象之間的關聯時，</w:t>
      </w:r>
      <w:r w:rsidRPr="00EA7A2C">
        <w:rPr>
          <w:rFonts w:ascii="Times New Roman" w:eastAsia="標楷體" w:hAnsi="Times New Roman"/>
          <w:color w:val="373A3C"/>
        </w:rPr>
        <w:t>Kevin Lynch</w:t>
      </w:r>
      <w:r w:rsidRPr="00EA7A2C">
        <w:rPr>
          <w:rFonts w:ascii="標楷體" w:eastAsia="標楷體" w:hAnsi="標楷體" w:hint="eastAsia"/>
          <w:color w:val="373A3C"/>
        </w:rPr>
        <w:t xml:space="preserve"> 所提 出的城市意象類型：通道</w:t>
      </w:r>
      <w:r w:rsidRPr="00EA7A2C">
        <w:rPr>
          <w:rFonts w:ascii="Times New Roman" w:eastAsia="Times New Roman" w:hAnsi="Times New Roman"/>
          <w:color w:val="373A3C"/>
        </w:rPr>
        <w:t>(Paths)</w:t>
      </w:r>
      <w:r w:rsidRPr="00EA7A2C">
        <w:rPr>
          <w:rFonts w:ascii="標楷體" w:eastAsia="標楷體" w:hAnsi="標楷體" w:hint="eastAsia"/>
          <w:color w:val="373A3C"/>
        </w:rPr>
        <w:t>、邊緣</w:t>
      </w:r>
      <w:r w:rsidRPr="00EA7A2C">
        <w:rPr>
          <w:rFonts w:ascii="Times New Roman" w:eastAsia="Times New Roman" w:hAnsi="Times New Roman"/>
          <w:color w:val="373A3C"/>
        </w:rPr>
        <w:t>(Edges)</w:t>
      </w:r>
      <w:r w:rsidRPr="00EA7A2C">
        <w:rPr>
          <w:rFonts w:ascii="標楷體" w:eastAsia="標楷體" w:hAnsi="標楷體" w:hint="eastAsia"/>
          <w:color w:val="373A3C"/>
        </w:rPr>
        <w:t>、區域</w:t>
      </w:r>
      <w:r w:rsidRPr="00EA7A2C">
        <w:rPr>
          <w:rFonts w:ascii="Times New Roman" w:eastAsia="Times New Roman" w:hAnsi="Times New Roman"/>
          <w:color w:val="373A3C"/>
        </w:rPr>
        <w:t>(Districts)</w:t>
      </w:r>
      <w:r w:rsidRPr="00EA7A2C">
        <w:rPr>
          <w:rFonts w:ascii="標楷體" w:eastAsia="標楷體" w:hAnsi="標楷體" w:hint="eastAsia"/>
          <w:color w:val="373A3C"/>
        </w:rPr>
        <w:t>、節點</w:t>
      </w:r>
      <w:r w:rsidRPr="00EA7A2C">
        <w:rPr>
          <w:rFonts w:ascii="Times New Roman" w:eastAsia="Times New Roman" w:hAnsi="Times New Roman"/>
          <w:color w:val="373A3C"/>
        </w:rPr>
        <w:t>(Nodes)</w:t>
      </w:r>
      <w:r w:rsidRPr="00EA7A2C">
        <w:rPr>
          <w:rFonts w:ascii="標楷體" w:eastAsia="標楷體" w:hAnsi="標楷體" w:hint="eastAsia"/>
          <w:color w:val="373A3C"/>
        </w:rPr>
        <w:t>、地 標</w:t>
      </w:r>
      <w:r w:rsidRPr="00EA7A2C">
        <w:rPr>
          <w:rFonts w:ascii="Times New Roman" w:eastAsia="Times New Roman" w:hAnsi="Times New Roman"/>
          <w:color w:val="373A3C"/>
        </w:rPr>
        <w:t>(Land Mark)</w:t>
      </w:r>
      <w:r w:rsidRPr="00EA7A2C">
        <w:rPr>
          <w:rFonts w:ascii="標楷體" w:eastAsia="標楷體" w:hAnsi="標楷體" w:hint="eastAsia"/>
          <w:color w:val="373A3C"/>
        </w:rPr>
        <w:t>，當以這些形式作為觀察的指標時，可以明顯發現，台灣近幾年 有許多公共藝術的案例，已經從原本為粉飾都市建築景觀的醜陋，扮演著美化環境的角色性格，轉而朝向具備形塑城市意象的功能。</w:t>
      </w:r>
    </w:p>
    <w:p w:rsidR="00CF3407" w:rsidRPr="00EA7A2C" w:rsidRDefault="00CF3407" w:rsidP="00CF3407">
      <w:pPr>
        <w:pStyle w:val="a7"/>
        <w:spacing w:after="0"/>
        <w:jc w:val="both"/>
        <w:rPr>
          <w:rFonts w:hint="eastAsia"/>
        </w:rPr>
      </w:pPr>
      <w:r w:rsidRPr="00EA7A2C">
        <w:rPr>
          <w:rFonts w:ascii="標楷體" w:eastAsia="標楷體" w:hAnsi="標楷體" w:hint="eastAsia"/>
          <w:color w:val="373A3C"/>
        </w:rPr>
        <w:tab/>
        <w:t>當企圖將公共藝術融入在城市空間時將面臨的幾個具體課題，包含了設置地點的選擇、觀賞對象的思考、所要表達的精神與意義、呈現理念的表現方式與設置時機。除了適地性外，對於 基地的文化歷史內涵的彰顯更是要去著重思考的，否則公共藝術的存在將有可能 淪為裝飾點綴的藝術創作性質，在無法回應城市</w:t>
      </w:r>
      <w:r w:rsidRPr="00EA7A2C">
        <w:rPr>
          <w:rFonts w:ascii="標楷體" w:eastAsia="標楷體" w:hAnsi="標楷體" w:hint="eastAsia"/>
          <w:color w:val="373A3C"/>
        </w:rPr>
        <w:lastRenderedPageBreak/>
        <w:t>發展的脈動下，成為多餘的設施 物。由民間團體</w:t>
      </w:r>
      <w:r w:rsidRPr="00EA7A2C">
        <w:rPr>
          <w:rFonts w:ascii="新細明體" w:hAnsi="新細明體" w:cs="新細明體" w:hint="eastAsia"/>
          <w:color w:val="373A3C"/>
        </w:rPr>
        <w:t>「</w:t>
      </w:r>
      <w:r w:rsidRPr="00EA7A2C">
        <w:rPr>
          <w:rFonts w:ascii="標楷體" w:eastAsia="標楷體" w:hAnsi="標楷體" w:hint="eastAsia"/>
          <w:color w:val="373A3C"/>
        </w:rPr>
        <w:t>天棚藝術村</w:t>
      </w:r>
      <w:r w:rsidRPr="00EA7A2C">
        <w:rPr>
          <w:rFonts w:ascii="新細明體" w:hAnsi="新細明體" w:cs="新細明體" w:hint="eastAsia"/>
          <w:color w:val="373A3C"/>
        </w:rPr>
        <w:t>」</w:t>
      </w:r>
      <w:r w:rsidRPr="00EA7A2C">
        <w:rPr>
          <w:rFonts w:ascii="標楷體" w:eastAsia="標楷體" w:hAnsi="標楷體" w:hint="eastAsia"/>
          <w:color w:val="373A3C"/>
        </w:rPr>
        <w:t>自發性的社區營造模式創作的</w:t>
      </w:r>
      <w:r w:rsidRPr="00EA7A2C">
        <w:rPr>
          <w:rFonts w:ascii="新細明體" w:hAnsi="新細明體" w:cs="新細明體" w:hint="eastAsia"/>
          <w:color w:val="373A3C"/>
        </w:rPr>
        <w:t>「</w:t>
      </w:r>
      <w:r w:rsidRPr="00EA7A2C">
        <w:rPr>
          <w:rFonts w:ascii="標楷體" w:eastAsia="標楷體" w:hAnsi="標楷體" w:hint="eastAsia"/>
          <w:color w:val="373A3C"/>
        </w:rPr>
        <w:t>大河再現</w:t>
      </w:r>
      <w:r w:rsidRPr="00EA7A2C">
        <w:rPr>
          <w:rFonts w:ascii="新細明體" w:hAnsi="新細明體" w:cs="新細明體" w:hint="eastAsia"/>
          <w:color w:val="373A3C"/>
        </w:rPr>
        <w:t>」、「</w:t>
      </w:r>
      <w:r w:rsidRPr="00EA7A2C">
        <w:rPr>
          <w:rFonts w:ascii="標楷體" w:eastAsia="標楷體" w:hAnsi="標楷體" w:hint="eastAsia"/>
          <w:color w:val="373A3C"/>
        </w:rPr>
        <w:t>晴空萬里</w:t>
      </w:r>
      <w:r w:rsidRPr="00EA7A2C">
        <w:rPr>
          <w:rFonts w:ascii="新細明體" w:hAnsi="新細明體" w:cs="新細明體" w:hint="eastAsia"/>
          <w:color w:val="373A3C"/>
        </w:rPr>
        <w:t>」</w:t>
      </w:r>
      <w:r w:rsidRPr="00EA7A2C">
        <w:rPr>
          <w:rFonts w:ascii="標楷體" w:eastAsia="標楷體" w:hAnsi="標楷體" w:hint="eastAsia"/>
          <w:color w:val="373A3C"/>
        </w:rPr>
        <w:t>兩件馬賽克壁畫可說是邊緣類型的參考案例。這兩件公共藝術作品以台 北市邊緣的大稻埕地區的自然景觀、人文歷史為題材，</w:t>
      </w:r>
      <w:r w:rsidRPr="00EA7A2C">
        <w:rPr>
          <w:rFonts w:ascii="新細明體" w:hAnsi="新細明體" w:cs="新細明體" w:hint="eastAsia"/>
          <w:color w:val="373A3C"/>
        </w:rPr>
        <w:t>「</w:t>
      </w:r>
      <w:r w:rsidRPr="00EA7A2C">
        <w:rPr>
          <w:rFonts w:ascii="標楷體" w:eastAsia="標楷體" w:hAnsi="標楷體" w:hint="eastAsia"/>
          <w:color w:val="373A3C"/>
        </w:rPr>
        <w:t>大河再現</w:t>
      </w:r>
      <w:r w:rsidRPr="00EA7A2C">
        <w:rPr>
          <w:rFonts w:ascii="新細明體" w:hAnsi="新細明體" w:cs="新細明體" w:hint="eastAsia"/>
          <w:color w:val="373A3C"/>
        </w:rPr>
        <w:t>」</w:t>
      </w:r>
      <w:r w:rsidRPr="00EA7A2C">
        <w:rPr>
          <w:rFonts w:ascii="標楷體" w:eastAsia="標楷體" w:hAnsi="標楷體" w:hint="eastAsia"/>
          <w:color w:val="373A3C"/>
        </w:rPr>
        <w:t>在環河北路 與南京西路交會口，發了霉的黑灰色河堤大牆上，寫實的重現了被高聳堤防隔絕 的水岸景觀，喚起久被遺忘的自然景緻，詳見在大稻埕碼頭入口</w:t>
      </w:r>
      <w:r w:rsidRPr="00EA7A2C">
        <w:rPr>
          <w:rFonts w:ascii="Times New Roman" w:eastAsia="Times New Roman" w:hAnsi="Times New Roman"/>
          <w:color w:val="373A3C"/>
        </w:rPr>
        <w:t>(</w:t>
      </w:r>
      <w:r w:rsidRPr="00EA7A2C">
        <w:rPr>
          <w:rFonts w:ascii="標楷體" w:eastAsia="標楷體" w:hAnsi="標楷體" w:hint="eastAsia"/>
          <w:color w:val="373A3C"/>
        </w:rPr>
        <w:t>五號水門</w:t>
      </w:r>
      <w:r w:rsidRPr="00EA7A2C">
        <w:rPr>
          <w:rFonts w:ascii="Times New Roman" w:eastAsia="Times New Roman" w:hAnsi="Times New Roman"/>
          <w:color w:val="373A3C"/>
        </w:rPr>
        <w:t>)</w:t>
      </w:r>
      <w:r w:rsidRPr="00EA7A2C">
        <w:rPr>
          <w:rFonts w:ascii="標楷體" w:eastAsia="標楷體" w:hAnsi="標楷體" w:hint="eastAsia"/>
          <w:color w:val="373A3C"/>
        </w:rPr>
        <w:t>大門左右兩邊的河堤牆上，將大稻埕碼頭昔日商旅往來的盛況 歷史再現，壁畫分列在水門兩側，水門內的大河和藍色公路的現代船隻等實景也 成為畫作的一部份。這種跨越時間、空間，虛擬和現實交錯下，完成的超現實畫面，令人印象深刻。</w:t>
      </w:r>
    </w:p>
    <w:p w:rsidR="00CF3407" w:rsidRPr="00EA7A2C" w:rsidRDefault="00CF3407" w:rsidP="00CF3407">
      <w:pPr>
        <w:pStyle w:val="a7"/>
        <w:spacing w:after="0"/>
        <w:jc w:val="both"/>
        <w:rPr>
          <w:rFonts w:hint="eastAsia"/>
        </w:rPr>
      </w:pPr>
      <w:r w:rsidRPr="00EA7A2C">
        <w:rPr>
          <w:rFonts w:ascii="標楷體" w:eastAsia="標楷體" w:hAnsi="標楷體" w:hint="eastAsia"/>
          <w:color w:val="373A3C"/>
        </w:rPr>
        <w:tab/>
        <w:t>台南市海安路的拓寬及地下街工程衍生出的畸零地、街道立面破落，造成地 區的發展停滯，多年來一直是台南市民心中的痛，適時的「美麗新世界─藝術造街」計畫的介入使海安路街區出現了一個新翻轉的可能。整體計畫分兩階段進行，第一階段</w:t>
      </w:r>
      <w:r w:rsidRPr="00EA7A2C">
        <w:rPr>
          <w:rFonts w:ascii="標楷體" w:eastAsia="Times New Roman" w:hAnsi="標楷體" w:hint="eastAsia"/>
          <w:color w:val="373A3C"/>
        </w:rPr>
        <w:t>「</w:t>
      </w:r>
      <w:r w:rsidRPr="00EA7A2C">
        <w:rPr>
          <w:rFonts w:ascii="標楷體" w:eastAsia="標楷體" w:hAnsi="標楷體" w:hint="eastAsia"/>
          <w:color w:val="373A3C"/>
        </w:rPr>
        <w:t>實驗期</w:t>
      </w:r>
      <w:r w:rsidRPr="00EA7A2C">
        <w:rPr>
          <w:rFonts w:ascii="標楷體" w:eastAsia="Times New Roman" w:hAnsi="標楷體" w:hint="eastAsia"/>
          <w:color w:val="373A3C"/>
        </w:rPr>
        <w:t>」</w:t>
      </w:r>
      <w:r w:rsidRPr="00EA7A2C">
        <w:rPr>
          <w:rFonts w:ascii="標楷體" w:eastAsia="標楷體" w:hAnsi="標楷體" w:hint="eastAsia"/>
          <w:color w:val="373A3C"/>
        </w:rPr>
        <w:t>先行將藝術導入街區，試圖改變街區破落的視覺觀感， 引發市民的關心，第二階段</w:t>
      </w:r>
      <w:r w:rsidRPr="00EA7A2C">
        <w:rPr>
          <w:rFonts w:ascii="標楷體" w:eastAsia="Times New Roman" w:hAnsi="標楷體" w:hint="eastAsia"/>
          <w:color w:val="373A3C"/>
        </w:rPr>
        <w:t>「</w:t>
      </w:r>
      <w:r w:rsidRPr="00EA7A2C">
        <w:rPr>
          <w:rFonts w:ascii="標楷體" w:eastAsia="標楷體" w:hAnsi="標楷體" w:hint="eastAsia"/>
          <w:color w:val="373A3C"/>
        </w:rPr>
        <w:t>發展期</w:t>
      </w:r>
      <w:r w:rsidRPr="00EA7A2C">
        <w:rPr>
          <w:rFonts w:ascii="標楷體" w:eastAsia="Times New Roman" w:hAnsi="標楷體" w:hint="eastAsia"/>
          <w:color w:val="373A3C"/>
        </w:rPr>
        <w:t>」</w:t>
      </w:r>
      <w:r w:rsidRPr="00EA7A2C">
        <w:rPr>
          <w:rFonts w:ascii="標楷體" w:eastAsia="標楷體" w:hAnsi="標楷體" w:hint="eastAsia"/>
          <w:color w:val="373A3C"/>
        </w:rPr>
        <w:t>著重於社區居民的自發性參與及互動，尋 求當代藝術介入公共空間發展的可能。以閒置空間與裝置藝術結合進行大規模造 街的新實驗，不僅引發高度的話題性，帶入觀光人潮與商機，更塑 造出台南古都的新城市風格，誠如策展人杜昭賢在</w:t>
      </w:r>
      <w:r w:rsidRPr="00EA7A2C">
        <w:rPr>
          <w:rFonts w:ascii="標楷體" w:eastAsia="Times New Roman" w:hAnsi="標楷體" w:hint="eastAsia"/>
          <w:color w:val="373A3C"/>
        </w:rPr>
        <w:t>《</w:t>
      </w:r>
      <w:r w:rsidRPr="00EA7A2C">
        <w:rPr>
          <w:rFonts w:ascii="標楷體" w:eastAsia="標楷體" w:hAnsi="標楷體" w:hint="eastAsia"/>
          <w:color w:val="373A3C"/>
        </w:rPr>
        <w:t>傷痕藝術</w:t>
      </w:r>
      <w:r w:rsidRPr="00EA7A2C">
        <w:rPr>
          <w:rFonts w:ascii="標楷體" w:eastAsia="Times New Roman" w:hAnsi="標楷體" w:hint="eastAsia"/>
          <w:color w:val="373A3C"/>
        </w:rPr>
        <w:t>─</w:t>
      </w:r>
      <w:r w:rsidRPr="00EA7A2C">
        <w:rPr>
          <w:rFonts w:ascii="標楷體" w:eastAsia="標楷體" w:hAnsi="標楷體" w:hint="eastAsia"/>
          <w:color w:val="373A3C"/>
        </w:rPr>
        <w:t>環境改造下的藝 術介入：談海安街道美術館</w:t>
      </w:r>
      <w:r w:rsidRPr="00EA7A2C">
        <w:rPr>
          <w:rFonts w:ascii="標楷體" w:eastAsia="Times New Roman" w:hAnsi="標楷體" w:hint="eastAsia"/>
          <w:color w:val="373A3C"/>
        </w:rPr>
        <w:t>》</w:t>
      </w:r>
      <w:r w:rsidRPr="00EA7A2C">
        <w:rPr>
          <w:rFonts w:ascii="標楷體" w:eastAsia="標楷體" w:hAnsi="標楷體" w:hint="eastAsia"/>
          <w:color w:val="373A3C"/>
        </w:rPr>
        <w:t>裡所寫的：海安路形塑出一個特殊的街區性格及觀光景點，</w:t>
      </w:r>
      <w:r w:rsidRPr="00EA7A2C">
        <w:rPr>
          <w:rFonts w:ascii="標楷體" w:eastAsia="Times New Roman" w:hAnsi="標楷體" w:hint="eastAsia"/>
          <w:color w:val="373A3C"/>
        </w:rPr>
        <w:t>……</w:t>
      </w:r>
      <w:r w:rsidRPr="00EA7A2C">
        <w:rPr>
          <w:rFonts w:ascii="標楷體" w:eastAsia="標楷體" w:hAnsi="標楷體" w:hint="eastAsia"/>
          <w:color w:val="373A3C"/>
        </w:rPr>
        <w:t>它所引發的是市民的喜 悅與驚豔，它讓市民重新對此街區產生期待，讓觀光客重新閱讀台南，它讓藝術悄悄的進駐人們的生活裡、心裡，同時它也給藝術界一劑強心針，因為藝術又再 度的發展出城市改造的另一種可能。</w:t>
      </w:r>
    </w:p>
    <w:p w:rsidR="00CF3407" w:rsidRPr="00EA7A2C" w:rsidRDefault="00CF3407" w:rsidP="00CF3407">
      <w:pPr>
        <w:pStyle w:val="a7"/>
        <w:spacing w:after="0"/>
        <w:jc w:val="both"/>
        <w:rPr>
          <w:rFonts w:ascii="標楷體" w:eastAsia="標楷體" w:hAnsi="標楷體"/>
          <w:color w:val="373A3C"/>
        </w:rPr>
      </w:pPr>
    </w:p>
    <w:p w:rsidR="00CF3407" w:rsidRPr="00EA7A2C" w:rsidRDefault="00CF3407" w:rsidP="00CF3407">
      <w:pPr>
        <w:pStyle w:val="a7"/>
        <w:spacing w:after="0"/>
        <w:jc w:val="both"/>
        <w:rPr>
          <w:rFonts w:ascii="Times New Roman" w:eastAsia="標楷體" w:hAnsi="Times New Roman"/>
        </w:rPr>
      </w:pPr>
      <w:r w:rsidRPr="00EA7A2C">
        <w:rPr>
          <w:rFonts w:ascii="Times New Roman" w:eastAsia="標楷體" w:hAnsi="Times New Roman"/>
          <w:color w:val="373A3C"/>
        </w:rPr>
        <w:t>(3)</w:t>
      </w:r>
      <w:r w:rsidRPr="00EA7A2C">
        <w:rPr>
          <w:rFonts w:ascii="Times New Roman" w:eastAsia="標楷體" w:hAnsi="Times New Roman" w:hint="eastAsia"/>
          <w:color w:val="373A3C"/>
        </w:rPr>
        <w:t>自己的論述或觀點</w:t>
      </w:r>
    </w:p>
    <w:p w:rsidR="00CF3407" w:rsidRPr="00EA7A2C" w:rsidRDefault="00CF3407" w:rsidP="00CF3407">
      <w:pPr>
        <w:pStyle w:val="a7"/>
        <w:spacing w:after="0"/>
        <w:jc w:val="both"/>
        <w:rPr>
          <w:rFonts w:ascii="標楷體" w:eastAsia="標楷體" w:hAnsi="標楷體"/>
        </w:rPr>
      </w:pPr>
      <w:r w:rsidRPr="00EA7A2C">
        <w:rPr>
          <w:rFonts w:ascii="標楷體" w:eastAsia="標楷體" w:hAnsi="標楷體" w:hint="eastAsia"/>
          <w:color w:val="373A3C"/>
        </w:rPr>
        <w:tab/>
        <w:t>從都市與藝術的基本關係去思考，公共藝術植入城市空間的層次，可分為點、線、面的構成面向。公共藝術以點狀存於空間內，是被動的等待人們接近，各個 點狀相互連結成為線狀時，它的被動性格即被轉化成主動性，使人們在不經意的情況下自然與之相遇，當不同的線狀空間進行串接時即成為面狀空間的樣態。面狀空間的樣態可以是一整個</w:t>
      </w:r>
      <w:r w:rsidRPr="00EA7A2C">
        <w:rPr>
          <w:rFonts w:ascii="新細明體" w:hAnsi="新細明體" w:cs="新細明體" w:hint="eastAsia"/>
          <w:color w:val="373A3C"/>
        </w:rPr>
        <w:t>「</w:t>
      </w:r>
      <w:r w:rsidRPr="00EA7A2C">
        <w:rPr>
          <w:rFonts w:ascii="標楷體" w:eastAsia="標楷體" w:hAnsi="標楷體" w:hint="eastAsia"/>
          <w:color w:val="373A3C"/>
        </w:rPr>
        <w:t>聚落</w:t>
      </w:r>
      <w:r w:rsidRPr="00EA7A2C">
        <w:rPr>
          <w:rFonts w:ascii="新細明體" w:hAnsi="新細明體" w:cs="新細明體" w:hint="eastAsia"/>
          <w:color w:val="373A3C"/>
        </w:rPr>
        <w:t>」</w:t>
      </w:r>
      <w:r w:rsidRPr="00EA7A2C">
        <w:rPr>
          <w:rFonts w:ascii="標楷體" w:eastAsia="標楷體" w:hAnsi="標楷體" w:hint="eastAsia"/>
          <w:color w:val="373A3C"/>
        </w:rPr>
        <w:t>或</w:t>
      </w:r>
      <w:r w:rsidRPr="00EA7A2C">
        <w:rPr>
          <w:rFonts w:ascii="新細明體" w:hAnsi="新細明體" w:cs="新細明體" w:hint="eastAsia"/>
          <w:color w:val="373A3C"/>
        </w:rPr>
        <w:t>「</w:t>
      </w:r>
      <w:r w:rsidRPr="00EA7A2C">
        <w:rPr>
          <w:rFonts w:ascii="標楷體" w:eastAsia="標楷體" w:hAnsi="標楷體" w:hint="eastAsia"/>
          <w:color w:val="373A3C"/>
        </w:rPr>
        <w:t>區域</w:t>
      </w:r>
      <w:r w:rsidRPr="00EA7A2C">
        <w:rPr>
          <w:rFonts w:ascii="新細明體" w:hAnsi="新細明體" w:cs="新細明體" w:hint="eastAsia"/>
          <w:color w:val="373A3C"/>
        </w:rPr>
        <w:t>」</w:t>
      </w:r>
      <w:r w:rsidRPr="00EA7A2C">
        <w:rPr>
          <w:rFonts w:ascii="標楷體" w:eastAsia="標楷體" w:hAnsi="標楷體" w:hint="eastAsia"/>
          <w:color w:val="373A3C"/>
        </w:rPr>
        <w:t>。以某一個</w:t>
      </w:r>
      <w:r w:rsidRPr="00EA7A2C">
        <w:rPr>
          <w:rFonts w:ascii="新細明體" w:hAnsi="新細明體" w:cs="新細明體" w:hint="eastAsia"/>
          <w:color w:val="373A3C"/>
        </w:rPr>
        <w:t>「</w:t>
      </w:r>
      <w:r w:rsidRPr="00EA7A2C">
        <w:rPr>
          <w:rFonts w:ascii="標楷體" w:eastAsia="標楷體" w:hAnsi="標楷體" w:hint="eastAsia"/>
          <w:color w:val="373A3C"/>
        </w:rPr>
        <w:t>聚落</w:t>
      </w:r>
      <w:r w:rsidRPr="00EA7A2C">
        <w:rPr>
          <w:rFonts w:ascii="新細明體" w:hAnsi="新細明體" w:cs="新細明體" w:hint="eastAsia"/>
          <w:color w:val="373A3C"/>
        </w:rPr>
        <w:t>」</w:t>
      </w:r>
      <w:r w:rsidRPr="00EA7A2C">
        <w:rPr>
          <w:rFonts w:ascii="標楷體" w:eastAsia="標楷體" w:hAnsi="標楷體" w:hint="eastAsia"/>
          <w:color w:val="373A3C"/>
        </w:rPr>
        <w:t>為基地，進行某種有意識的主題性藝術氛圍的營造，去產生群聚效應，公共藝術在這過程中以集體行動的能力，賦予了公共議題新的意義與形貌。針對</w:t>
      </w:r>
      <w:r w:rsidRPr="00EA7A2C">
        <w:rPr>
          <w:rFonts w:ascii="新細明體" w:hAnsi="新細明體" w:cs="新細明體" w:hint="eastAsia"/>
          <w:color w:val="373A3C"/>
        </w:rPr>
        <w:t>「</w:t>
      </w:r>
      <w:r w:rsidRPr="00EA7A2C">
        <w:rPr>
          <w:rFonts w:ascii="標楷體" w:eastAsia="標楷體" w:hAnsi="標楷體" w:hint="eastAsia"/>
          <w:color w:val="373A3C"/>
        </w:rPr>
        <w:t>群聚</w:t>
      </w:r>
      <w:r w:rsidRPr="00EA7A2C">
        <w:rPr>
          <w:rFonts w:ascii="新細明體" w:hAnsi="新細明體" w:cs="新細明體" w:hint="eastAsia"/>
          <w:color w:val="373A3C"/>
        </w:rPr>
        <w:t>」</w:t>
      </w:r>
      <w:r w:rsidRPr="00EA7A2C">
        <w:rPr>
          <w:rFonts w:ascii="標楷體" w:eastAsia="標楷體" w:hAnsi="標楷體" w:hint="eastAsia"/>
          <w:color w:val="373A3C"/>
        </w:rPr>
        <w:t>在文化經濟發展研究上的整理，早期運用古蹟、遺址等文化資產的群聚，以及大型文化節慶活動、嘉年華、運動賽事等聚集大眾注 意力的奇觀式活動等策略計畫，吸引觀光人潮，招攬企業投資，為地方帶來經濟 活力及工作機會，進而以</w:t>
      </w:r>
      <w:r w:rsidRPr="00EA7A2C">
        <w:rPr>
          <w:rFonts w:ascii="新細明體" w:hAnsi="新細明體" w:cs="新細明體" w:hint="eastAsia"/>
          <w:color w:val="373A3C"/>
        </w:rPr>
        <w:t>「</w:t>
      </w:r>
      <w:r w:rsidRPr="00EA7A2C">
        <w:rPr>
          <w:rFonts w:ascii="標楷體" w:eastAsia="標楷體" w:hAnsi="標楷體" w:hint="eastAsia"/>
          <w:color w:val="373A3C"/>
        </w:rPr>
        <w:t>文化經濟</w:t>
      </w:r>
      <w:r w:rsidRPr="00EA7A2C">
        <w:rPr>
          <w:rFonts w:ascii="新細明體" w:hAnsi="新細明體" w:cs="新細明體" w:hint="eastAsia"/>
          <w:color w:val="373A3C"/>
        </w:rPr>
        <w:t>」</w:t>
      </w:r>
      <w:r w:rsidRPr="00EA7A2C">
        <w:rPr>
          <w:rFonts w:ascii="標楷體" w:eastAsia="標楷體" w:hAnsi="標楷體" w:hint="eastAsia"/>
          <w:color w:val="373A3C"/>
        </w:rPr>
        <w:lastRenderedPageBreak/>
        <w:t xml:space="preserve">環繞觀光產業的手法，推動地方形象重整。以此概念延伸到公共藝術計畫的策略運用，經由具一定規模的群體的組成，帶動議題性與關注度的上升，城市意象的建立自然成型。 城市意象的塑造，它必須是以整條街道、或是區域、或是群聚的型態才能有整體性的建構，繼而轉化成強而有力的視覺記憶，這不是以單一公共藝術植入某一個基地就可以單獨處理的。因此試圖透過公共藝術來形塑城市意象時，重點不是將多件公共藝術置入城市空間各角落，用數量的多寡作為評斷的基準，而是需要去考量整個空間與藝術的協調統合，從整體街道、區域的規模去規劃構思，以及讓公共藝術在推動的過程中創造群聚效應，甚至與都市計劃相互結合才有可能達到。 </w:t>
      </w:r>
    </w:p>
    <w:p w:rsidR="00CF3407" w:rsidRPr="00EA7A2C" w:rsidRDefault="00CF3407" w:rsidP="00CF3407">
      <w:pPr>
        <w:pStyle w:val="a7"/>
        <w:spacing w:after="0"/>
        <w:jc w:val="both"/>
        <w:rPr>
          <w:rFonts w:ascii="標楷體" w:eastAsia="標楷體" w:hAnsi="標楷體"/>
          <w:color w:val="373A3C"/>
        </w:rPr>
      </w:pPr>
    </w:p>
    <w:p w:rsidR="00CF3407" w:rsidRPr="00EA7A2C" w:rsidRDefault="00CF3407" w:rsidP="00CF3407">
      <w:pPr>
        <w:pStyle w:val="a7"/>
        <w:spacing w:after="0"/>
        <w:jc w:val="both"/>
        <w:rPr>
          <w:rFonts w:ascii="標楷體" w:eastAsia="標楷體" w:hAnsi="標楷體"/>
        </w:rPr>
      </w:pPr>
      <w:r w:rsidRPr="00EA7A2C">
        <w:rPr>
          <w:rFonts w:ascii="標楷體" w:eastAsia="標楷體" w:hAnsi="標楷體" w:hint="eastAsia"/>
          <w:color w:val="373A3C"/>
        </w:rPr>
        <w:t>(4)參考文獻</w:t>
      </w:r>
    </w:p>
    <w:p w:rsidR="00CF3407" w:rsidRPr="00EA7A2C" w:rsidRDefault="00CF3407" w:rsidP="00CF3407">
      <w:pPr>
        <w:pStyle w:val="a7"/>
        <w:spacing w:after="0"/>
        <w:jc w:val="both"/>
        <w:rPr>
          <w:rFonts w:hint="eastAsia"/>
        </w:rPr>
      </w:pPr>
      <w:r w:rsidRPr="00EA7A2C">
        <w:rPr>
          <w:rFonts w:ascii="Times New Roman" w:eastAsia="標楷體" w:hAnsi="Times New Roman"/>
          <w:color w:val="373A3C"/>
        </w:rPr>
        <w:tab/>
      </w:r>
      <w:r w:rsidRPr="00EA7A2C">
        <w:rPr>
          <w:rFonts w:ascii="標楷體" w:eastAsia="標楷體" w:hAnsi="標楷體" w:hint="eastAsia"/>
          <w:color w:val="373A3C"/>
        </w:rPr>
        <w:t xml:space="preserve">國立臺灣師範大學美術研究所 碩士論文 </w:t>
      </w:r>
    </w:p>
    <w:p w:rsidR="00CF3407" w:rsidRPr="00EA7A2C" w:rsidRDefault="00CF3407" w:rsidP="00CF3407">
      <w:pPr>
        <w:pStyle w:val="a7"/>
        <w:spacing w:after="0"/>
        <w:jc w:val="both"/>
        <w:rPr>
          <w:rFonts w:ascii="標楷體" w:eastAsia="標楷體" w:hAnsi="標楷體"/>
          <w:color w:val="373A3C"/>
        </w:rPr>
      </w:pPr>
      <w:r w:rsidRPr="00EA7A2C">
        <w:rPr>
          <w:rFonts w:ascii="標楷體" w:eastAsia="標楷體" w:hAnsi="標楷體" w:hint="eastAsia"/>
          <w:color w:val="373A3C"/>
        </w:rPr>
        <w:t xml:space="preserve">指導教授：黃海鳴教授、蘇憲法教授 </w:t>
      </w:r>
    </w:p>
    <w:p w:rsidR="00CF3407" w:rsidRPr="00EA7A2C" w:rsidRDefault="00CF3407" w:rsidP="00CF3407">
      <w:pPr>
        <w:pStyle w:val="a7"/>
        <w:spacing w:after="0"/>
        <w:jc w:val="both"/>
        <w:rPr>
          <w:rFonts w:ascii="標楷體" w:eastAsia="標楷體" w:hAnsi="標楷體"/>
          <w:color w:val="373A3C"/>
        </w:rPr>
      </w:pPr>
      <w:r w:rsidRPr="00EA7A2C">
        <w:rPr>
          <w:rFonts w:ascii="標楷體" w:eastAsia="標楷體" w:hAnsi="標楷體" w:hint="eastAsia"/>
          <w:color w:val="373A3C"/>
        </w:rPr>
        <w:t>公共藝術對城市意象塑造之探討 ─以台北市為例</w:t>
      </w:r>
    </w:p>
    <w:p w:rsidR="00CF3407" w:rsidRPr="00EA7A2C" w:rsidRDefault="00CF3407" w:rsidP="00CF3407">
      <w:pPr>
        <w:pStyle w:val="a7"/>
        <w:spacing w:after="0"/>
        <w:jc w:val="both"/>
        <w:rPr>
          <w:rFonts w:hint="eastAsia"/>
        </w:rPr>
      </w:pPr>
      <w:r w:rsidRPr="00EA7A2C">
        <w:rPr>
          <w:rFonts w:ascii="Times New Roman" w:eastAsia="Times New Roman" w:hAnsi="Times New Roman"/>
          <w:color w:val="373A3C"/>
        </w:rPr>
        <w:t xml:space="preserve"> Exploring the Role of Public Art in the Shaping of City Imagery - The case of Taipei City</w:t>
      </w:r>
      <w:r w:rsidRPr="00EA7A2C">
        <w:rPr>
          <w:rFonts w:ascii="標楷體" w:eastAsia="標楷體" w:hAnsi="標楷體" w:hint="eastAsia"/>
          <w:color w:val="373A3C"/>
        </w:rPr>
        <w:t xml:space="preserve"> </w:t>
      </w:r>
    </w:p>
    <w:p w:rsidR="00CF3407" w:rsidRPr="00EA7A2C" w:rsidRDefault="00CF3407" w:rsidP="00CF3407">
      <w:pPr>
        <w:pStyle w:val="a7"/>
        <w:spacing w:after="0"/>
        <w:jc w:val="both"/>
        <w:rPr>
          <w:rFonts w:ascii="標楷體" w:eastAsia="標楷體" w:hAnsi="標楷體"/>
          <w:color w:val="373A3C"/>
        </w:rPr>
      </w:pPr>
      <w:r w:rsidRPr="00EA7A2C">
        <w:rPr>
          <w:rFonts w:ascii="標楷體" w:eastAsia="標楷體" w:hAnsi="標楷體" w:hint="eastAsia"/>
          <w:color w:val="373A3C"/>
        </w:rPr>
        <w:t xml:space="preserve">研究生：彭嘉玲 撰 </w:t>
      </w:r>
    </w:p>
    <w:p w:rsidR="00CF3407" w:rsidRPr="00EA7A2C" w:rsidRDefault="00CF3407" w:rsidP="00CF3407">
      <w:pPr>
        <w:pStyle w:val="a7"/>
        <w:spacing w:after="0"/>
        <w:jc w:val="both"/>
        <w:rPr>
          <w:rFonts w:ascii="標楷體" w:eastAsia="標楷體" w:hAnsi="標楷體"/>
          <w:color w:val="000000"/>
        </w:rPr>
      </w:pPr>
    </w:p>
    <w:p w:rsidR="00CF3407" w:rsidRPr="00EA7A2C" w:rsidRDefault="00CF3407" w:rsidP="00CF3407">
      <w:pPr>
        <w:pStyle w:val="a7"/>
        <w:spacing w:after="0"/>
        <w:jc w:val="both"/>
        <w:rPr>
          <w:rFonts w:ascii="Times New Roman" w:eastAsia="標楷體" w:hAnsi="Times New Roman"/>
          <w:color w:val="000000"/>
        </w:rPr>
      </w:pPr>
    </w:p>
    <w:p w:rsidR="00CF3407" w:rsidRPr="00EA7A2C" w:rsidRDefault="00CF3407" w:rsidP="00CF3407">
      <w:pPr>
        <w:pStyle w:val="a7"/>
        <w:spacing w:after="0"/>
        <w:jc w:val="both"/>
        <w:rPr>
          <w:rFonts w:ascii="Times New Roman" w:eastAsia="標楷體" w:hAnsi="Times New Roman"/>
          <w:color w:val="000000"/>
        </w:rPr>
      </w:pPr>
    </w:p>
    <w:p w:rsidR="00C9099B" w:rsidRPr="00EA7A2C" w:rsidRDefault="00C9099B">
      <w:pPr>
        <w:rPr>
          <w:szCs w:val="24"/>
        </w:rPr>
      </w:pPr>
    </w:p>
    <w:sectPr w:rsidR="00C9099B" w:rsidRPr="00EA7A2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93D" w:rsidRDefault="00A2393D" w:rsidP="00CF3407">
      <w:r>
        <w:separator/>
      </w:r>
    </w:p>
  </w:endnote>
  <w:endnote w:type="continuationSeparator" w:id="0">
    <w:p w:rsidR="00A2393D" w:rsidRDefault="00A2393D" w:rsidP="00CF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新細明體"/>
    <w:charset w:val="88"/>
    <w:family w:val="roman"/>
    <w:pitch w:val="variable"/>
  </w:font>
  <w:font w:name="Arial">
    <w:panose1 w:val="020B0604020202020204"/>
    <w:charset w:val="00"/>
    <w:family w:val="swiss"/>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93D" w:rsidRDefault="00A2393D" w:rsidP="00CF3407">
      <w:r>
        <w:separator/>
      </w:r>
    </w:p>
  </w:footnote>
  <w:footnote w:type="continuationSeparator" w:id="0">
    <w:p w:rsidR="00A2393D" w:rsidRDefault="00A2393D" w:rsidP="00CF3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2D7"/>
    <w:rsid w:val="000F3D3B"/>
    <w:rsid w:val="00A2393D"/>
    <w:rsid w:val="00C9099B"/>
    <w:rsid w:val="00CF3407"/>
    <w:rsid w:val="00EA7A2C"/>
    <w:rsid w:val="00F862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5833B8-8344-4BB5-AC19-70E5751C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407"/>
    <w:pPr>
      <w:tabs>
        <w:tab w:val="center" w:pos="4153"/>
        <w:tab w:val="right" w:pos="8306"/>
      </w:tabs>
      <w:snapToGrid w:val="0"/>
    </w:pPr>
    <w:rPr>
      <w:sz w:val="20"/>
      <w:szCs w:val="20"/>
    </w:rPr>
  </w:style>
  <w:style w:type="character" w:customStyle="1" w:styleId="a4">
    <w:name w:val="頁首 字元"/>
    <w:basedOn w:val="a0"/>
    <w:link w:val="a3"/>
    <w:uiPriority w:val="99"/>
    <w:rsid w:val="00CF3407"/>
    <w:rPr>
      <w:sz w:val="20"/>
      <w:szCs w:val="20"/>
    </w:rPr>
  </w:style>
  <w:style w:type="paragraph" w:styleId="a5">
    <w:name w:val="footer"/>
    <w:basedOn w:val="a"/>
    <w:link w:val="a6"/>
    <w:uiPriority w:val="99"/>
    <w:unhideWhenUsed/>
    <w:rsid w:val="00CF3407"/>
    <w:pPr>
      <w:tabs>
        <w:tab w:val="center" w:pos="4153"/>
        <w:tab w:val="right" w:pos="8306"/>
      </w:tabs>
      <w:snapToGrid w:val="0"/>
    </w:pPr>
    <w:rPr>
      <w:sz w:val="20"/>
      <w:szCs w:val="20"/>
    </w:rPr>
  </w:style>
  <w:style w:type="character" w:customStyle="1" w:styleId="a6">
    <w:name w:val="頁尾 字元"/>
    <w:basedOn w:val="a0"/>
    <w:link w:val="a5"/>
    <w:uiPriority w:val="99"/>
    <w:rsid w:val="00CF3407"/>
    <w:rPr>
      <w:sz w:val="20"/>
      <w:szCs w:val="20"/>
    </w:rPr>
  </w:style>
  <w:style w:type="paragraph" w:styleId="a7">
    <w:name w:val="Body Text"/>
    <w:basedOn w:val="a"/>
    <w:link w:val="a8"/>
    <w:semiHidden/>
    <w:unhideWhenUsed/>
    <w:rsid w:val="00CF3407"/>
    <w:pPr>
      <w:widowControl/>
      <w:suppressAutoHyphens/>
      <w:spacing w:after="140" w:line="276" w:lineRule="auto"/>
    </w:pPr>
    <w:rPr>
      <w:rFonts w:ascii="Liberation Serif" w:eastAsia="新細明體" w:hAnsi="Liberation Serif" w:cs="Arial"/>
      <w:szCs w:val="24"/>
      <w:lang w:bidi="hi-IN"/>
    </w:rPr>
  </w:style>
  <w:style w:type="character" w:customStyle="1" w:styleId="a8">
    <w:name w:val="本文 字元"/>
    <w:basedOn w:val="a0"/>
    <w:link w:val="a7"/>
    <w:semiHidden/>
    <w:rsid w:val="00CF3407"/>
    <w:rPr>
      <w:rFonts w:ascii="Liberation Serif" w:eastAsia="新細明體" w:hAnsi="Liberation Serif" w:cs="Arial"/>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9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382</Words>
  <Characters>2182</Characters>
  <Application>Microsoft Office Word</Application>
  <DocSecurity>0</DocSecurity>
  <Lines>18</Lines>
  <Paragraphs>5</Paragraphs>
  <ScaleCrop>false</ScaleCrop>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鍾智權</dc:creator>
  <cp:keywords/>
  <dc:description/>
  <cp:lastModifiedBy>蔡欣潔</cp:lastModifiedBy>
  <cp:revision>3</cp:revision>
  <dcterms:created xsi:type="dcterms:W3CDTF">2022-05-09T09:31:00Z</dcterms:created>
  <dcterms:modified xsi:type="dcterms:W3CDTF">2022-05-25T06:21:00Z</dcterms:modified>
</cp:coreProperties>
</file>